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C0DB" w14:textId="77777777"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7"/>
        <w:gridCol w:w="141"/>
        <w:gridCol w:w="709"/>
        <w:gridCol w:w="709"/>
        <w:gridCol w:w="1276"/>
        <w:gridCol w:w="283"/>
        <w:gridCol w:w="425"/>
        <w:gridCol w:w="284"/>
        <w:gridCol w:w="1843"/>
        <w:gridCol w:w="2051"/>
      </w:tblGrid>
      <w:tr w:rsidR="00B57B5B" w14:paraId="12966E57" w14:textId="77777777" w:rsidTr="005326DA">
        <w:tc>
          <w:tcPr>
            <w:tcW w:w="4748" w:type="dxa"/>
            <w:gridSpan w:val="7"/>
            <w:tcBorders>
              <w:bottom w:val="nil"/>
            </w:tcBorders>
            <w:vAlign w:val="center"/>
          </w:tcPr>
          <w:p w14:paraId="72A03406" w14:textId="77777777" w:rsidR="00B57B5B" w:rsidRDefault="00DB54CF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Óbudai Egyetem</w:t>
            </w:r>
          </w:p>
          <w:p w14:paraId="06F8B94E" w14:textId="77777777"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4"/>
            <w:tcBorders>
              <w:bottom w:val="nil"/>
            </w:tcBorders>
            <w:vAlign w:val="center"/>
          </w:tcPr>
          <w:p w14:paraId="30BB0AB4" w14:textId="1EC5B242" w:rsidR="005326DA" w:rsidRPr="005326DA" w:rsidRDefault="005326DA" w:rsidP="005326DA">
            <w:pPr>
              <w:pStyle w:val="Cmsor2"/>
              <w:jc w:val="center"/>
              <w:rPr>
                <w:i w:val="0"/>
                <w:sz w:val="20"/>
                <w:szCs w:val="20"/>
              </w:rPr>
            </w:pPr>
            <w:r w:rsidRPr="005326DA">
              <w:rPr>
                <w:i w:val="0"/>
                <w:sz w:val="20"/>
                <w:szCs w:val="20"/>
              </w:rPr>
              <w:t xml:space="preserve">Biztonságtechnikai és </w:t>
            </w:r>
            <w:proofErr w:type="spellStart"/>
            <w:r w:rsidRPr="005326DA">
              <w:rPr>
                <w:i w:val="0"/>
                <w:sz w:val="20"/>
                <w:szCs w:val="20"/>
              </w:rPr>
              <w:t>Kibervédelmi</w:t>
            </w:r>
            <w:proofErr w:type="spellEnd"/>
            <w:r w:rsidRPr="005326DA"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14:paraId="72E7CB18" w14:textId="77777777" w:rsidTr="005326DA">
        <w:tc>
          <w:tcPr>
            <w:tcW w:w="9351" w:type="dxa"/>
            <w:gridSpan w:val="11"/>
            <w:shd w:val="clear" w:color="auto" w:fill="FFFFFF"/>
            <w:vAlign w:val="center"/>
          </w:tcPr>
          <w:p w14:paraId="3013B601" w14:textId="77777777"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9F5E3E">
              <w:rPr>
                <w:b/>
                <w:i w:val="0"/>
                <w:sz w:val="20"/>
                <w:szCs w:val="20"/>
              </w:rPr>
              <w:t xml:space="preserve">tárgy neve és kódja: Információbiztonság </w:t>
            </w:r>
            <w:r w:rsidR="00E7517A">
              <w:rPr>
                <w:b/>
                <w:i w:val="0"/>
                <w:sz w:val="20"/>
                <w:szCs w:val="20"/>
              </w:rPr>
              <w:t>követelményei a közszférában</w:t>
            </w:r>
            <w:r w:rsidR="009F5E3E">
              <w:rPr>
                <w:b/>
                <w:i w:val="0"/>
                <w:sz w:val="20"/>
                <w:szCs w:val="20"/>
              </w:rPr>
              <w:t xml:space="preserve">, </w:t>
            </w:r>
            <w:r w:rsidR="00E7517A" w:rsidRPr="00E7517A">
              <w:rPr>
                <w:b/>
                <w:i w:val="0"/>
                <w:sz w:val="20"/>
                <w:szCs w:val="20"/>
              </w:rPr>
              <w:t>BBXIK16BNE</w:t>
            </w:r>
            <w:r>
              <w:rPr>
                <w:i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7517A">
              <w:rPr>
                <w:b/>
                <w:sz w:val="20"/>
                <w:szCs w:val="20"/>
              </w:rPr>
              <w:t>4</w:t>
            </w:r>
          </w:p>
          <w:p w14:paraId="7F3A1941" w14:textId="25897077" w:rsidR="00B57B5B" w:rsidRDefault="00204B47" w:rsidP="00A12E2E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</w:t>
            </w:r>
            <w:r w:rsidR="00C46776">
              <w:rPr>
                <w:b/>
                <w:i w:val="0"/>
                <w:sz w:val="20"/>
                <w:szCs w:val="20"/>
              </w:rPr>
              <w:t>2</w:t>
            </w:r>
            <w:r>
              <w:rPr>
                <w:b/>
                <w:i w:val="0"/>
                <w:sz w:val="20"/>
                <w:szCs w:val="20"/>
              </w:rPr>
              <w:t>/202</w:t>
            </w:r>
            <w:r w:rsidR="00C46776">
              <w:rPr>
                <w:b/>
                <w:i w:val="0"/>
                <w:sz w:val="20"/>
                <w:szCs w:val="20"/>
              </w:rPr>
              <w:t>3</w:t>
            </w:r>
            <w:r w:rsidR="002F604D">
              <w:rPr>
                <w:b/>
                <w:i w:val="0"/>
                <w:sz w:val="20"/>
                <w:szCs w:val="20"/>
              </w:rPr>
              <w:t xml:space="preserve"> tanév 1</w:t>
            </w:r>
            <w:r w:rsidR="00E7517A">
              <w:rPr>
                <w:b/>
                <w:i w:val="0"/>
                <w:sz w:val="20"/>
                <w:szCs w:val="20"/>
              </w:rPr>
              <w:t>. félév</w:t>
            </w:r>
          </w:p>
        </w:tc>
      </w:tr>
      <w:tr w:rsidR="00B57B5B" w14:paraId="3A010168" w14:textId="77777777" w:rsidTr="005326DA">
        <w:tc>
          <w:tcPr>
            <w:tcW w:w="4465" w:type="dxa"/>
            <w:gridSpan w:val="6"/>
            <w:vAlign w:val="center"/>
          </w:tcPr>
          <w:p w14:paraId="41675AEB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14:paraId="3517C54F" w14:textId="77777777" w:rsidR="00B57B5B" w:rsidRDefault="009F5E3E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86" w:type="dxa"/>
            <w:gridSpan w:val="5"/>
            <w:vAlign w:val="center"/>
          </w:tcPr>
          <w:p w14:paraId="6BF93CAA" w14:textId="77777777" w:rsidR="00B57B5B" w:rsidRDefault="00927222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lásd</w:t>
            </w:r>
            <w:r w:rsidR="00DB54CF">
              <w:rPr>
                <w:sz w:val="20"/>
                <w:szCs w:val="20"/>
              </w:rPr>
              <w:t xml:space="preserve"> Ütemezés</w:t>
            </w:r>
          </w:p>
          <w:p w14:paraId="53994536" w14:textId="77777777" w:rsidR="00B57B5B" w:rsidRDefault="00B57B5B" w:rsidP="00E7517A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14:paraId="486C0714" w14:textId="77777777" w:rsidTr="005326DA">
        <w:tc>
          <w:tcPr>
            <w:tcW w:w="1630" w:type="dxa"/>
            <w:gridSpan w:val="2"/>
            <w:vAlign w:val="center"/>
          </w:tcPr>
          <w:p w14:paraId="539FD5FC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14:paraId="35E11145" w14:textId="77777777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6604D0D" w14:textId="77777777" w:rsidR="00B57B5B" w:rsidRDefault="002F6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3"/>
            <w:vAlign w:val="center"/>
          </w:tcPr>
          <w:p w14:paraId="07789C0E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  <w:vAlign w:val="center"/>
          </w:tcPr>
          <w:p w14:paraId="6F91D382" w14:textId="3942E699" w:rsidR="00B57B5B" w:rsidRDefault="00E7517A" w:rsidP="00F63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Illés Mihály</w:t>
            </w:r>
            <w:r w:rsidR="00AD10D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B5B" w14:paraId="2A81FAF8" w14:textId="77777777" w:rsidTr="005326DA">
        <w:tc>
          <w:tcPr>
            <w:tcW w:w="2480" w:type="dxa"/>
            <w:gridSpan w:val="4"/>
            <w:vAlign w:val="center"/>
          </w:tcPr>
          <w:p w14:paraId="735876FC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23D990E4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7"/>
            <w:vAlign w:val="center"/>
          </w:tcPr>
          <w:p w14:paraId="6C9851AB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14:paraId="53696565" w14:textId="77777777" w:rsidTr="005326DA">
        <w:trPr>
          <w:trHeight w:val="280"/>
        </w:trPr>
        <w:tc>
          <w:tcPr>
            <w:tcW w:w="1771" w:type="dxa"/>
            <w:gridSpan w:val="3"/>
            <w:vAlign w:val="center"/>
          </w:tcPr>
          <w:p w14:paraId="5785BAA8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  <w:vAlign w:val="center"/>
          </w:tcPr>
          <w:p w14:paraId="4056B292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90D6853" w14:textId="77777777" w:rsidR="00B57B5B" w:rsidRDefault="00DB5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0A2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vAlign w:val="center"/>
          </w:tcPr>
          <w:p w14:paraId="72681775" w14:textId="77777777" w:rsidR="00B57B5B" w:rsidRDefault="00DB54CF" w:rsidP="00E7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E75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  <w:vAlign w:val="center"/>
          </w:tcPr>
          <w:p w14:paraId="1E58E582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 w14:paraId="16048987" w14:textId="77777777" w:rsidTr="005326DA">
        <w:trPr>
          <w:trHeight w:val="320"/>
        </w:trPr>
        <w:tc>
          <w:tcPr>
            <w:tcW w:w="1771" w:type="dxa"/>
            <w:gridSpan w:val="3"/>
            <w:tcBorders>
              <w:bottom w:val="nil"/>
            </w:tcBorders>
            <w:vAlign w:val="center"/>
          </w:tcPr>
          <w:p w14:paraId="0D63C43D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80" w:type="dxa"/>
            <w:gridSpan w:val="8"/>
            <w:tcBorders>
              <w:bottom w:val="nil"/>
            </w:tcBorders>
            <w:vAlign w:val="center"/>
          </w:tcPr>
          <w:p w14:paraId="476C04E4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14:paraId="36E59B89" w14:textId="77777777" w:rsidTr="005326DA">
        <w:tc>
          <w:tcPr>
            <w:tcW w:w="9351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471CCCB2" w14:textId="77777777"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14:paraId="19380D44" w14:textId="77777777" w:rsidTr="005326DA">
        <w:tc>
          <w:tcPr>
            <w:tcW w:w="9351" w:type="dxa"/>
            <w:gridSpan w:val="11"/>
            <w:shd w:val="clear" w:color="auto" w:fill="FFFFFF"/>
            <w:vAlign w:val="center"/>
          </w:tcPr>
          <w:p w14:paraId="218CAC91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14:paraId="2CC4E954" w14:textId="77777777" w:rsidR="00CA2592" w:rsidRDefault="007119F0" w:rsidP="00AC7386">
            <w:pPr>
              <w:jc w:val="both"/>
              <w:rPr>
                <w:sz w:val="20"/>
                <w:szCs w:val="20"/>
              </w:rPr>
            </w:pPr>
            <w:r w:rsidRPr="007119F0">
              <w:rPr>
                <w:sz w:val="20"/>
                <w:szCs w:val="20"/>
              </w:rPr>
              <w:t xml:space="preserve">Nemzeti információs infrastruktúra védelme (személyi-, fizikai- és dokumentum védelem). </w:t>
            </w:r>
            <w:r>
              <w:rPr>
                <w:sz w:val="20"/>
                <w:szCs w:val="20"/>
              </w:rPr>
              <w:t>Az információvédelem és a k</w:t>
            </w:r>
            <w:r w:rsidRPr="007119F0">
              <w:rPr>
                <w:sz w:val="20"/>
                <w:szCs w:val="20"/>
              </w:rPr>
              <w:t xml:space="preserve">ibervédelem </w:t>
            </w:r>
            <w:r>
              <w:rPr>
                <w:sz w:val="20"/>
                <w:szCs w:val="20"/>
              </w:rPr>
              <w:t xml:space="preserve">összekapcsolása. Vezetők feladatai </w:t>
            </w:r>
            <w:r w:rsidRPr="007119F0">
              <w:rPr>
                <w:sz w:val="20"/>
                <w:szCs w:val="20"/>
              </w:rPr>
              <w:t xml:space="preserve">és felelőssége. Információbiztonsági vezető szerepe. 2013. évi L. törvény. A törvényi szabályozásban felhasznált nemzetközi ajánlások és szabványok (ISO 27xxx, NIST SP 800, </w:t>
            </w:r>
            <w:proofErr w:type="spellStart"/>
            <w:r w:rsidRPr="007119F0">
              <w:rPr>
                <w:sz w:val="20"/>
                <w:szCs w:val="20"/>
              </w:rPr>
              <w:t>CObIT</w:t>
            </w:r>
            <w:proofErr w:type="spellEnd"/>
            <w:r w:rsidRPr="007119F0">
              <w:rPr>
                <w:sz w:val="20"/>
                <w:szCs w:val="20"/>
              </w:rPr>
              <w:t xml:space="preserve">). </w:t>
            </w:r>
            <w:r w:rsidR="00AC7386" w:rsidRPr="00AC7386">
              <w:rPr>
                <w:sz w:val="20"/>
                <w:szCs w:val="20"/>
              </w:rPr>
              <w:t>Nemzeti minősített adatok kezelésére vonatkozó</w:t>
            </w:r>
            <w:r w:rsidR="00AC7386">
              <w:rPr>
                <w:sz w:val="20"/>
                <w:szCs w:val="20"/>
              </w:rPr>
              <w:t xml:space="preserve"> k</w:t>
            </w:r>
            <w:r w:rsidR="00AC7386" w:rsidRPr="00AC7386">
              <w:rPr>
                <w:sz w:val="20"/>
                <w:szCs w:val="20"/>
              </w:rPr>
              <w:t>övetelmények</w:t>
            </w:r>
            <w:r w:rsidR="00AC7386">
              <w:rPr>
                <w:sz w:val="20"/>
                <w:szCs w:val="20"/>
              </w:rPr>
              <w:t xml:space="preserve">. Szenzitív szolgáltatások az elektronikus térben (az állam szerepe, működése és az infokommunikációs technológiák). </w:t>
            </w:r>
            <w:r w:rsidRPr="007119F0">
              <w:rPr>
                <w:sz w:val="20"/>
                <w:szCs w:val="20"/>
              </w:rPr>
              <w:t>Elektronikus</w:t>
            </w:r>
            <w:r w:rsidR="00AC7386">
              <w:rPr>
                <w:sz w:val="20"/>
                <w:szCs w:val="20"/>
              </w:rPr>
              <w:t xml:space="preserve"> kormányzati szolgáltatások elemeinek megismerése</w:t>
            </w:r>
            <w:r w:rsidRPr="007119F0">
              <w:rPr>
                <w:sz w:val="20"/>
                <w:szCs w:val="20"/>
              </w:rPr>
              <w:t>.</w:t>
            </w:r>
            <w:r w:rsidR="00F16DF3">
              <w:t xml:space="preserve"> </w:t>
            </w:r>
            <w:r w:rsidR="00F16DF3" w:rsidRPr="00F16DF3">
              <w:rPr>
                <w:sz w:val="20"/>
                <w:szCs w:val="20"/>
              </w:rPr>
              <w:t>Kormányzati célú speciális hálózatok</w:t>
            </w:r>
            <w:r w:rsidR="00F16DF3">
              <w:rPr>
                <w:sz w:val="20"/>
                <w:szCs w:val="20"/>
              </w:rPr>
              <w:t>.</w:t>
            </w:r>
            <w:r w:rsidRPr="007119F0">
              <w:rPr>
                <w:sz w:val="20"/>
                <w:szCs w:val="20"/>
              </w:rPr>
              <w:t xml:space="preserve"> Információbiztonsági események megelőzése, észlelése és kezelése a közszférában. Elektronikus információs rendszerek osztályba sorolása.</w:t>
            </w:r>
          </w:p>
        </w:tc>
      </w:tr>
      <w:tr w:rsidR="00B57B5B" w14:paraId="3AD1D422" w14:textId="77777777" w:rsidTr="005326DA">
        <w:tc>
          <w:tcPr>
            <w:tcW w:w="9351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1661A3B3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14:paraId="5CBA7F23" w14:textId="77777777" w:rsidTr="005326DA">
        <w:trPr>
          <w:trHeight w:val="280"/>
        </w:trPr>
        <w:tc>
          <w:tcPr>
            <w:tcW w:w="9351" w:type="dxa"/>
            <w:gridSpan w:val="11"/>
            <w:shd w:val="clear" w:color="auto" w:fill="auto"/>
            <w:vAlign w:val="center"/>
          </w:tcPr>
          <w:p w14:paraId="1EC3E87B" w14:textId="77777777"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E7517A" w14:paraId="50040F40" w14:textId="77777777" w:rsidTr="005326DA">
        <w:trPr>
          <w:trHeight w:val="280"/>
        </w:trPr>
        <w:tc>
          <w:tcPr>
            <w:tcW w:w="1413" w:type="dxa"/>
            <w:shd w:val="clear" w:color="auto" w:fill="auto"/>
            <w:vAlign w:val="center"/>
          </w:tcPr>
          <w:p w14:paraId="79AC545A" w14:textId="77777777" w:rsidR="00E7517A" w:rsidRDefault="00E751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632CFD73" w14:textId="77777777" w:rsidR="00E7517A" w:rsidRDefault="00E7517A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</w:tr>
      <w:tr w:rsidR="00A12E2E" w14:paraId="259431B4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46C9E85C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4AE3F0A8" w14:textId="77777777" w:rsidR="00A12E2E" w:rsidRPr="00593259" w:rsidRDefault="00A12E2E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</w:p>
        </w:tc>
      </w:tr>
      <w:tr w:rsidR="00A12E2E" w14:paraId="272BE7F7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4143839B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561CBA82" w14:textId="77777777" w:rsidR="00A12E2E" w:rsidRDefault="00A12E2E" w:rsidP="00F3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Bevezetés a közszféra információbiztonságába</w:t>
            </w:r>
          </w:p>
        </w:tc>
      </w:tr>
      <w:tr w:rsidR="00A12E2E" w14:paraId="4D24C95D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5A6EC74B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66E07CE8" w14:textId="77777777" w:rsidR="00A12E2E" w:rsidRDefault="00A12E2E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közigazgatás felépítése</w:t>
            </w:r>
          </w:p>
        </w:tc>
      </w:tr>
      <w:tr w:rsidR="00A12E2E" w14:paraId="07A86AC3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174DE302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220A7E9F" w14:textId="77777777" w:rsidR="00A12E2E" w:rsidRPr="00AD10D9" w:rsidRDefault="00A12E2E" w:rsidP="0029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Objektumvédelem a közszférában</w:t>
            </w:r>
          </w:p>
        </w:tc>
      </w:tr>
      <w:tr w:rsidR="00A12E2E" w14:paraId="1188D5AF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63147BE0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23E133B1" w14:textId="77777777" w:rsidR="00A12E2E" w:rsidRPr="00CE05A9" w:rsidRDefault="00A12E2E" w:rsidP="00F3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Megfelelés a jogszabályi követelmények – Állami és önkormányzati szervek elektronikus információbiztonsága</w:t>
            </w:r>
          </w:p>
        </w:tc>
      </w:tr>
      <w:tr w:rsidR="00A12E2E" w14:paraId="54A4E00F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497A5FE2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76BD3B9D" w14:textId="77777777" w:rsidR="00A12E2E" w:rsidRPr="00CE05A9" w:rsidRDefault="00A12E2E" w:rsidP="00CE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irányítási rendszerek szerepe a közszférában</w:t>
            </w:r>
          </w:p>
        </w:tc>
      </w:tr>
      <w:tr w:rsidR="00A12E2E" w14:paraId="4C1660AA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54347A30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7C405C00" w14:textId="77777777" w:rsidR="00A12E2E" w:rsidRPr="00F33AF0" w:rsidRDefault="00A12E2E" w:rsidP="00AC7386">
            <w:pPr>
              <w:rPr>
                <w:sz w:val="20"/>
                <w:szCs w:val="20"/>
              </w:rPr>
            </w:pPr>
            <w:r w:rsidRPr="00AC7386">
              <w:rPr>
                <w:sz w:val="20"/>
                <w:szCs w:val="20"/>
              </w:rPr>
              <w:t>Nemzeti minősített adatok kezelésére vonatkozó</w:t>
            </w:r>
            <w:r>
              <w:rPr>
                <w:sz w:val="20"/>
                <w:szCs w:val="20"/>
              </w:rPr>
              <w:t xml:space="preserve"> k</w:t>
            </w:r>
            <w:r w:rsidRPr="00AC7386">
              <w:rPr>
                <w:sz w:val="20"/>
                <w:szCs w:val="20"/>
              </w:rPr>
              <w:t>övetelmények</w:t>
            </w:r>
          </w:p>
        </w:tc>
      </w:tr>
      <w:tr w:rsidR="00A12E2E" w14:paraId="68602347" w14:textId="77777777" w:rsidTr="005326DA">
        <w:trPr>
          <w:trHeight w:val="260"/>
        </w:trPr>
        <w:tc>
          <w:tcPr>
            <w:tcW w:w="1413" w:type="dxa"/>
            <w:shd w:val="clear" w:color="auto" w:fill="FFFFFF"/>
            <w:vAlign w:val="center"/>
          </w:tcPr>
          <w:p w14:paraId="11872C8F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09C5126A" w14:textId="77777777" w:rsidR="00A12E2E" w:rsidRDefault="00A12E2E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kormányzati szolgáltatások</w:t>
            </w:r>
          </w:p>
        </w:tc>
      </w:tr>
      <w:tr w:rsidR="00A12E2E" w14:paraId="36DC8472" w14:textId="77777777" w:rsidTr="005326DA">
        <w:trPr>
          <w:trHeight w:val="260"/>
        </w:trPr>
        <w:tc>
          <w:tcPr>
            <w:tcW w:w="1413" w:type="dxa"/>
            <w:shd w:val="clear" w:color="auto" w:fill="auto"/>
            <w:vAlign w:val="center"/>
          </w:tcPr>
          <w:p w14:paraId="4B365287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7E08E8EB" w14:textId="77777777" w:rsidR="00A12E2E" w:rsidRDefault="00A12E2E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Szenzitív szolgáltatások az elektronikus térben</w:t>
            </w:r>
          </w:p>
        </w:tc>
      </w:tr>
      <w:tr w:rsidR="00A12E2E" w14:paraId="0CAFEEA8" w14:textId="77777777" w:rsidTr="005326DA">
        <w:trPr>
          <w:trHeight w:val="260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1D3AB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2212F" w14:textId="77777777" w:rsidR="00A12E2E" w:rsidRDefault="00A12E2E" w:rsidP="004424E5">
            <w:pPr>
              <w:rPr>
                <w:sz w:val="20"/>
                <w:szCs w:val="20"/>
              </w:rPr>
            </w:pPr>
            <w:r w:rsidRPr="007119F0">
              <w:rPr>
                <w:sz w:val="20"/>
                <w:szCs w:val="20"/>
              </w:rPr>
              <w:t>Információbiztonsági események megelőzése, észle</w:t>
            </w:r>
            <w:r>
              <w:rPr>
                <w:sz w:val="20"/>
                <w:szCs w:val="20"/>
              </w:rPr>
              <w:t>lése és kezelése a közszférában</w:t>
            </w:r>
          </w:p>
        </w:tc>
      </w:tr>
      <w:tr w:rsidR="00A12E2E" w14:paraId="5AA6B7A4" w14:textId="77777777" w:rsidTr="005326DA">
        <w:trPr>
          <w:trHeight w:val="260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349B1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F0104" w14:textId="77777777" w:rsidR="00A12E2E" w:rsidRDefault="00A12E2E" w:rsidP="004424E5">
            <w:pPr>
              <w:rPr>
                <w:sz w:val="20"/>
                <w:szCs w:val="20"/>
              </w:rPr>
            </w:pPr>
            <w:r w:rsidRPr="007119F0">
              <w:rPr>
                <w:sz w:val="20"/>
                <w:szCs w:val="20"/>
              </w:rPr>
              <w:t>Elektronikus információ</w:t>
            </w:r>
            <w:r>
              <w:rPr>
                <w:sz w:val="20"/>
                <w:szCs w:val="20"/>
              </w:rPr>
              <w:t>s rendszerek osztályba sorolása</w:t>
            </w:r>
          </w:p>
        </w:tc>
      </w:tr>
      <w:tr w:rsidR="00A12E2E" w14:paraId="64F2FAD1" w14:textId="77777777" w:rsidTr="005326DA">
        <w:trPr>
          <w:trHeight w:val="26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FE978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C6E5E" w14:textId="17353EE7" w:rsidR="00022A43" w:rsidRDefault="005326DA" w:rsidP="00F3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</w:tr>
      <w:tr w:rsidR="00A12E2E" w14:paraId="12FF79EA" w14:textId="77777777" w:rsidTr="005326DA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08A1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720" w14:textId="70BAD3DF" w:rsidR="00A12E2E" w:rsidRDefault="00A12E2E" w:rsidP="005326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Konzultáció</w:t>
            </w:r>
            <w:proofErr w:type="gramEnd"/>
            <w:r>
              <w:rPr>
                <w:sz w:val="20"/>
                <w:szCs w:val="20"/>
              </w:rPr>
              <w:t xml:space="preserve"> és / vagy pótzárthelyi </w:t>
            </w:r>
          </w:p>
        </w:tc>
      </w:tr>
      <w:tr w:rsidR="00A12E2E" w14:paraId="2362B8E5" w14:textId="77777777" w:rsidTr="005326DA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DD4" w14:textId="77777777" w:rsidR="00A12E2E" w:rsidRDefault="00A12E2E" w:rsidP="00A1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5437" w14:textId="77777777" w:rsidR="00A12E2E" w:rsidRDefault="00A12E2E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633FD7" w14:paraId="0F03E52D" w14:textId="77777777" w:rsidTr="005326DA">
        <w:trPr>
          <w:trHeight w:val="260"/>
        </w:trPr>
        <w:tc>
          <w:tcPr>
            <w:tcW w:w="9351" w:type="dxa"/>
          </w:tcPr>
          <w:p w14:paraId="1B261DAB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u w:val="single"/>
              </w:rPr>
              <w:t>Félévközi követelmények (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HKr</w:t>
            </w:r>
            <w:proofErr w:type="spellEnd"/>
            <w:r>
              <w:rPr>
                <w:b/>
                <w:bCs/>
                <w:color w:val="000000"/>
                <w:u w:val="single"/>
              </w:rPr>
              <w:t>  45. §,  46. §)</w:t>
            </w:r>
          </w:p>
          <w:p w14:paraId="204CD93A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Foglalkozásokon való részvétel előírásai: Az előadások látogatása kötelező.</w:t>
            </w:r>
          </w:p>
          <w:p w14:paraId="3F365113" w14:textId="77777777" w:rsidR="005326DA" w:rsidRDefault="005326DA" w:rsidP="005326DA"/>
          <w:p w14:paraId="21D118ED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color w:val="000000"/>
              </w:rPr>
              <w:t>HKr-ben</w:t>
            </w:r>
            <w:proofErr w:type="spellEnd"/>
            <w:r>
              <w:rPr>
                <w:color w:val="000000"/>
              </w:rPr>
              <w:t xml:space="preserve"> megadott mértéket. Amennyiben a hallgató túllépi a </w:t>
            </w:r>
            <w:proofErr w:type="spellStart"/>
            <w:r>
              <w:rPr>
                <w:color w:val="000000"/>
              </w:rPr>
              <w:t>HKr-ben</w:t>
            </w:r>
            <w:proofErr w:type="spellEnd"/>
            <w:r>
              <w:rPr>
                <w:color w:val="000000"/>
              </w:rPr>
              <w:t xml:space="preserve"> megadott értéket, letiltásra kerül. Az aláírás megadásának további feltétele: A félév során a felkészültség szintje jelenléti zárthelyi dolgozattal, vagy szóbeli számonkéréssel kérhető számon. </w:t>
            </w:r>
          </w:p>
          <w:p w14:paraId="6DB5F976" w14:textId="77777777" w:rsidR="005326DA" w:rsidRDefault="005326DA" w:rsidP="005326DA"/>
          <w:p w14:paraId="79301B00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u w:val="single"/>
              </w:rPr>
              <w:t>A pótlás módja (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HKr</w:t>
            </w:r>
            <w:proofErr w:type="spellEnd"/>
            <w:r>
              <w:rPr>
                <w:b/>
                <w:bCs/>
                <w:color w:val="000000"/>
                <w:u w:val="single"/>
              </w:rPr>
              <w:t>  45. §,  46. §)</w:t>
            </w:r>
          </w:p>
          <w:p w14:paraId="4588C802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Aláírás pótlása szorgalmi időszakban: </w:t>
            </w:r>
          </w:p>
          <w:p w14:paraId="2B6DDC0E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A félév során a felkészültség szintje zárthelyi dolgozattal ellenőrizhető, amelyeket egy alkalommal pótolni lehet. Az aláírás feltétele az összes előírt az összes zárthelyi „megfelelt” szintű teljesítése. </w:t>
            </w:r>
          </w:p>
          <w:p w14:paraId="309FCB12" w14:textId="77777777" w:rsidR="005326DA" w:rsidRDefault="005326DA" w:rsidP="005326DA"/>
          <w:p w14:paraId="7D3E3E0A" w14:textId="77777777" w:rsidR="005326DA" w:rsidRDefault="005326DA" w:rsidP="005326D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09CCC08F" w14:textId="37AA4BAE" w:rsidR="00633FD7" w:rsidRDefault="00633FD7" w:rsidP="00633FD7">
            <w:pPr>
              <w:rPr>
                <w:i/>
                <w:sz w:val="20"/>
                <w:szCs w:val="20"/>
              </w:rPr>
            </w:pPr>
          </w:p>
        </w:tc>
      </w:tr>
      <w:tr w:rsidR="00747892" w14:paraId="1198DD3F" w14:textId="77777777" w:rsidTr="005326DA">
        <w:trPr>
          <w:trHeight w:val="260"/>
        </w:trPr>
        <w:tc>
          <w:tcPr>
            <w:tcW w:w="9351" w:type="dxa"/>
            <w:shd w:val="clear" w:color="auto" w:fill="FFFFFF"/>
          </w:tcPr>
          <w:p w14:paraId="237B9DCE" w14:textId="77777777"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14:paraId="5861B2FD" w14:textId="5BC25205" w:rsidR="00747892" w:rsidRDefault="00E75B5F" w:rsidP="00747892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 xml:space="preserve">észvétel a foglalkozásokon (lásd </w:t>
            </w:r>
            <w:proofErr w:type="spellStart"/>
            <w:r w:rsidR="005326DA">
              <w:rPr>
                <w:sz w:val="20"/>
                <w:szCs w:val="20"/>
              </w:rPr>
              <w:t>HKr</w:t>
            </w:r>
            <w:proofErr w:type="spellEnd"/>
            <w:r w:rsidR="00747892">
              <w:rPr>
                <w:sz w:val="20"/>
                <w:szCs w:val="20"/>
              </w:rPr>
              <w:t>)</w:t>
            </w:r>
          </w:p>
          <w:p w14:paraId="371C74DE" w14:textId="77777777" w:rsidR="00747892" w:rsidRPr="00AF3B1F" w:rsidRDefault="00E75B5F" w:rsidP="00AF3B1F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3B1F">
              <w:rPr>
                <w:sz w:val="20"/>
                <w:szCs w:val="20"/>
              </w:rPr>
              <w:t>(z)</w:t>
            </w:r>
            <w:r w:rsidR="007119F0" w:rsidRPr="00AF3B1F">
              <w:rPr>
                <w:sz w:val="20"/>
                <w:szCs w:val="20"/>
              </w:rPr>
              <w:t xml:space="preserve"> </w:t>
            </w:r>
            <w:r w:rsidR="00AF3B1F">
              <w:rPr>
                <w:sz w:val="20"/>
                <w:szCs w:val="20"/>
              </w:rPr>
              <w:t>(</w:t>
            </w:r>
            <w:r w:rsidR="007119F0" w:rsidRPr="00AF3B1F">
              <w:rPr>
                <w:sz w:val="20"/>
                <w:szCs w:val="20"/>
              </w:rPr>
              <w:t>online</w:t>
            </w:r>
            <w:r w:rsidR="00AF3B1F">
              <w:rPr>
                <w:sz w:val="20"/>
                <w:szCs w:val="20"/>
              </w:rPr>
              <w:t>)</w:t>
            </w:r>
            <w:r w:rsidRPr="00AF3B1F">
              <w:rPr>
                <w:sz w:val="20"/>
                <w:szCs w:val="20"/>
              </w:rPr>
              <w:t xml:space="preserve"> zárthelyi / pótzárthelyi eredményes megírása</w:t>
            </w:r>
          </w:p>
          <w:p w14:paraId="59BC4422" w14:textId="77777777"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zárthelyi értékelése: </w:t>
            </w:r>
          </w:p>
          <w:p w14:paraId="268EC43D" w14:textId="77777777"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14:paraId="4E0B239D" w14:textId="77777777"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50 – 59,99%: elégséges (2)    </w:t>
            </w:r>
          </w:p>
          <w:p w14:paraId="1C621481" w14:textId="77777777"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14:paraId="79B963DD" w14:textId="77777777"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79,99%: jó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58390EAB" w14:textId="77777777"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14:paraId="1FF499DA" w14:textId="77777777" w:rsidR="00C060A9" w:rsidRDefault="00C060A9" w:rsidP="00C060A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14:paraId="05BF10F9" w14:textId="77777777" w:rsidR="00C060A9" w:rsidRPr="00F152B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DFACC98" w14:textId="77777777" w:rsidR="00747892" w:rsidRDefault="00757ACB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  <w:p w14:paraId="6987962B" w14:textId="77777777" w:rsidR="00747892" w:rsidRDefault="00747892" w:rsidP="00757A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7892" w14:paraId="492E0BA8" w14:textId="77777777" w:rsidTr="005326DA">
        <w:trPr>
          <w:trHeight w:val="260"/>
        </w:trPr>
        <w:tc>
          <w:tcPr>
            <w:tcW w:w="9351" w:type="dxa"/>
            <w:shd w:val="clear" w:color="auto" w:fill="FFFFFF"/>
          </w:tcPr>
          <w:p w14:paraId="306C6366" w14:textId="77777777" w:rsidR="00747892" w:rsidRDefault="00747892" w:rsidP="005326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747892" w14:paraId="7ACE71C8" w14:textId="77777777" w:rsidTr="005326DA">
        <w:trPr>
          <w:trHeight w:val="1140"/>
        </w:trPr>
        <w:tc>
          <w:tcPr>
            <w:tcW w:w="9351" w:type="dxa"/>
          </w:tcPr>
          <w:p w14:paraId="06821070" w14:textId="77777777"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747892">
              <w:rPr>
                <w:color w:val="000000"/>
                <w:sz w:val="20"/>
                <w:szCs w:val="20"/>
              </w:rPr>
              <w:t>Michelberger Pál: Információ-, folyamat- és váll</w:t>
            </w:r>
            <w:r w:rsidR="00204B47">
              <w:rPr>
                <w:color w:val="000000"/>
                <w:sz w:val="20"/>
                <w:szCs w:val="20"/>
              </w:rPr>
              <w:t>alatbiztonság. ÓE-KGK-4086, 2020</w:t>
            </w:r>
          </w:p>
          <w:p w14:paraId="46BD5B73" w14:textId="77777777" w:rsidR="00747892" w:rsidRPr="00CF4968" w:rsidRDefault="00CF4968" w:rsidP="00CF4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 w:rsidRPr="00CF4968">
              <w:rPr>
                <w:color w:val="000000"/>
                <w:sz w:val="20"/>
                <w:szCs w:val="20"/>
              </w:rPr>
              <w:t>Muha</w:t>
            </w:r>
            <w:proofErr w:type="spellEnd"/>
            <w:r w:rsidRPr="00CF4968">
              <w:rPr>
                <w:color w:val="000000"/>
                <w:sz w:val="20"/>
                <w:szCs w:val="20"/>
              </w:rPr>
              <w:t xml:space="preserve"> Lajos – </w:t>
            </w:r>
            <w:proofErr w:type="spellStart"/>
            <w:r w:rsidRPr="00CF4968">
              <w:rPr>
                <w:color w:val="000000"/>
                <w:sz w:val="20"/>
                <w:szCs w:val="20"/>
              </w:rPr>
              <w:t>Krasznay</w:t>
            </w:r>
            <w:proofErr w:type="spellEnd"/>
            <w:r w:rsidRPr="00CF4968">
              <w:rPr>
                <w:color w:val="000000"/>
                <w:sz w:val="20"/>
                <w:szCs w:val="20"/>
              </w:rPr>
              <w:t xml:space="preserve"> Csaba: Az elektronikus információs rendszerek biztonságának menedzselése</w:t>
            </w:r>
          </w:p>
          <w:p w14:paraId="696A1E8C" w14:textId="77777777" w:rsidR="00CF4968" w:rsidRPr="00CF4968" w:rsidRDefault="00CF4968" w:rsidP="00CF4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 w:rsidRPr="00CF4968">
              <w:rPr>
                <w:color w:val="000000"/>
                <w:sz w:val="20"/>
                <w:szCs w:val="20"/>
              </w:rPr>
              <w:t>Erdősi</w:t>
            </w:r>
            <w:proofErr w:type="spellEnd"/>
            <w:r w:rsidRPr="00CF4968">
              <w:rPr>
                <w:color w:val="000000"/>
                <w:sz w:val="20"/>
                <w:szCs w:val="20"/>
              </w:rPr>
              <w:t xml:space="preserve"> Péter Máté: Szenzitív szolgáltatások az elektronikus térben</w:t>
            </w:r>
          </w:p>
          <w:p w14:paraId="2722BD8C" w14:textId="77777777" w:rsidR="00CF4968" w:rsidRPr="0020281E" w:rsidRDefault="00CF4968" w:rsidP="00CF4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CF4968">
              <w:rPr>
                <w:color w:val="000000"/>
                <w:sz w:val="20"/>
                <w:szCs w:val="20"/>
              </w:rPr>
              <w:t>Szádeczky</w:t>
            </w:r>
            <w:proofErr w:type="spellEnd"/>
            <w:r w:rsidRPr="00CF4968">
              <w:rPr>
                <w:color w:val="000000"/>
                <w:sz w:val="20"/>
                <w:szCs w:val="20"/>
              </w:rPr>
              <w:t xml:space="preserve"> Tamás - Információbiztonsági szabványok</w:t>
            </w:r>
          </w:p>
        </w:tc>
      </w:tr>
    </w:tbl>
    <w:p w14:paraId="5CF00243" w14:textId="77777777"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7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2F90" w14:textId="77777777" w:rsidR="00E60DE2" w:rsidRDefault="00E60DE2">
      <w:r>
        <w:separator/>
      </w:r>
    </w:p>
  </w:endnote>
  <w:endnote w:type="continuationSeparator" w:id="0">
    <w:p w14:paraId="2A92F5F5" w14:textId="77777777" w:rsidR="00E60DE2" w:rsidRDefault="00E6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CE94" w14:textId="51C0D0E5" w:rsidR="00B57B5B" w:rsidRDefault="00B57B5B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B868" w14:textId="77777777" w:rsidR="00E60DE2" w:rsidRDefault="00E60DE2">
      <w:r>
        <w:separator/>
      </w:r>
    </w:p>
  </w:footnote>
  <w:footnote w:type="continuationSeparator" w:id="0">
    <w:p w14:paraId="640BB6E6" w14:textId="77777777" w:rsidR="00E60DE2" w:rsidRDefault="00E6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0244D"/>
    <w:rsid w:val="000027D9"/>
    <w:rsid w:val="00022A43"/>
    <w:rsid w:val="000376CB"/>
    <w:rsid w:val="0006304E"/>
    <w:rsid w:val="000902C8"/>
    <w:rsid w:val="000A2B94"/>
    <w:rsid w:val="000F596B"/>
    <w:rsid w:val="00127666"/>
    <w:rsid w:val="00156E6B"/>
    <w:rsid w:val="00162634"/>
    <w:rsid w:val="0017348F"/>
    <w:rsid w:val="001D11F2"/>
    <w:rsid w:val="0020281E"/>
    <w:rsid w:val="00204B47"/>
    <w:rsid w:val="002608DD"/>
    <w:rsid w:val="002611A3"/>
    <w:rsid w:val="0026551A"/>
    <w:rsid w:val="00290044"/>
    <w:rsid w:val="002E1E54"/>
    <w:rsid w:val="002E33FC"/>
    <w:rsid w:val="002F604D"/>
    <w:rsid w:val="00347518"/>
    <w:rsid w:val="00396241"/>
    <w:rsid w:val="00397060"/>
    <w:rsid w:val="003D401E"/>
    <w:rsid w:val="003D6FE6"/>
    <w:rsid w:val="00413D2B"/>
    <w:rsid w:val="004245D2"/>
    <w:rsid w:val="00431C86"/>
    <w:rsid w:val="004424E5"/>
    <w:rsid w:val="004C58C1"/>
    <w:rsid w:val="004E1652"/>
    <w:rsid w:val="005326DA"/>
    <w:rsid w:val="005564F5"/>
    <w:rsid w:val="00591BFE"/>
    <w:rsid w:val="00593259"/>
    <w:rsid w:val="005B4B25"/>
    <w:rsid w:val="005B64D4"/>
    <w:rsid w:val="005D4B5E"/>
    <w:rsid w:val="005E112E"/>
    <w:rsid w:val="005E635C"/>
    <w:rsid w:val="00633FD7"/>
    <w:rsid w:val="00640773"/>
    <w:rsid w:val="0064567B"/>
    <w:rsid w:val="006A5FB6"/>
    <w:rsid w:val="006B6BFC"/>
    <w:rsid w:val="006F3D69"/>
    <w:rsid w:val="007119F0"/>
    <w:rsid w:val="007264F5"/>
    <w:rsid w:val="007439D2"/>
    <w:rsid w:val="00747892"/>
    <w:rsid w:val="00750F75"/>
    <w:rsid w:val="007513D9"/>
    <w:rsid w:val="00757ACB"/>
    <w:rsid w:val="007751EB"/>
    <w:rsid w:val="007763AE"/>
    <w:rsid w:val="007B76DA"/>
    <w:rsid w:val="00802D22"/>
    <w:rsid w:val="00847F4F"/>
    <w:rsid w:val="00855D23"/>
    <w:rsid w:val="00867C57"/>
    <w:rsid w:val="008A49C1"/>
    <w:rsid w:val="008B6B52"/>
    <w:rsid w:val="008C3194"/>
    <w:rsid w:val="009101C9"/>
    <w:rsid w:val="009217ED"/>
    <w:rsid w:val="00927222"/>
    <w:rsid w:val="009E56ED"/>
    <w:rsid w:val="009F5E3E"/>
    <w:rsid w:val="00A12E2E"/>
    <w:rsid w:val="00A17C5D"/>
    <w:rsid w:val="00A82F5A"/>
    <w:rsid w:val="00AC7386"/>
    <w:rsid w:val="00AD10D9"/>
    <w:rsid w:val="00AF175F"/>
    <w:rsid w:val="00AF3B1F"/>
    <w:rsid w:val="00B46033"/>
    <w:rsid w:val="00B5641C"/>
    <w:rsid w:val="00B57B5B"/>
    <w:rsid w:val="00BA42AB"/>
    <w:rsid w:val="00BA4847"/>
    <w:rsid w:val="00C060A9"/>
    <w:rsid w:val="00C4070D"/>
    <w:rsid w:val="00C46776"/>
    <w:rsid w:val="00CA2592"/>
    <w:rsid w:val="00CE05A9"/>
    <w:rsid w:val="00CE6B07"/>
    <w:rsid w:val="00CF4968"/>
    <w:rsid w:val="00D23383"/>
    <w:rsid w:val="00D45220"/>
    <w:rsid w:val="00DB54CF"/>
    <w:rsid w:val="00DF4D04"/>
    <w:rsid w:val="00E60DE2"/>
    <w:rsid w:val="00E7517A"/>
    <w:rsid w:val="00E75B5F"/>
    <w:rsid w:val="00E82884"/>
    <w:rsid w:val="00F152BB"/>
    <w:rsid w:val="00F16DF3"/>
    <w:rsid w:val="00F21FBD"/>
    <w:rsid w:val="00F33AF0"/>
    <w:rsid w:val="00F632F4"/>
    <w:rsid w:val="00F6488D"/>
    <w:rsid w:val="00F83ABD"/>
    <w:rsid w:val="00F86AC7"/>
    <w:rsid w:val="00F92C3E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7F30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32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Harazin Katalin Illés Mihály</cp:lastModifiedBy>
  <cp:revision>5</cp:revision>
  <cp:lastPrinted>2020-10-18T22:21:00Z</cp:lastPrinted>
  <dcterms:created xsi:type="dcterms:W3CDTF">2021-09-04T21:14:00Z</dcterms:created>
  <dcterms:modified xsi:type="dcterms:W3CDTF">2023-06-15T20:10:00Z</dcterms:modified>
</cp:coreProperties>
</file>