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0"/>
        <w:gridCol w:w="141"/>
        <w:gridCol w:w="709"/>
        <w:gridCol w:w="709"/>
        <w:gridCol w:w="1276"/>
        <w:gridCol w:w="708"/>
        <w:gridCol w:w="284"/>
        <w:gridCol w:w="1843"/>
        <w:gridCol w:w="917"/>
        <w:gridCol w:w="302"/>
        <w:gridCol w:w="765"/>
        <w:gridCol w:w="15"/>
        <w:tblGridChange w:id="0">
          <w:tblGrid>
            <w:gridCol w:w="1630"/>
            <w:gridCol w:w="141"/>
            <w:gridCol w:w="709"/>
            <w:gridCol w:w="709"/>
            <w:gridCol w:w="1276"/>
            <w:gridCol w:w="708"/>
            <w:gridCol w:w="284"/>
            <w:gridCol w:w="1843"/>
            <w:gridCol w:w="917"/>
            <w:gridCol w:w="302"/>
            <w:gridCol w:w="765"/>
            <w:gridCol w:w="15"/>
          </w:tblGrid>
        </w:tblGridChange>
      </w:tblGrid>
      <w:tr>
        <w:trPr>
          <w:cantSplit w:val="1"/>
          <w:tblHeader w:val="0"/>
        </w:trPr>
        <w:tc>
          <w:tcPr>
            <w:gridSpan w:val="6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pStyle w:val="Heading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Óbudai Egyetem</w:t>
            </w:r>
          </w:p>
          <w:p w:rsidR="00000000" w:rsidDel="00000000" w:rsidP="00000000" w:rsidRDefault="00000000" w:rsidRPr="00000000" w14:paraId="00000003">
            <w:pPr>
              <w:pStyle w:val="Heading2"/>
              <w:rPr>
                <w:i w:val="0"/>
                <w:sz w:val="20"/>
                <w:szCs w:val="20"/>
              </w:rPr>
            </w:pPr>
            <w:r w:rsidDel="00000000" w:rsidR="00000000" w:rsidRPr="00000000">
              <w:rPr>
                <w:i w:val="0"/>
                <w:sz w:val="20"/>
                <w:szCs w:val="20"/>
                <w:rtl w:val="0"/>
              </w:rPr>
              <w:t xml:space="preserve">Bánki Donát Gépész és Biztonságtechnikai Mérnöki Kar</w:t>
            </w:r>
          </w:p>
        </w:tc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Biztonságtudományi és Kibervédelmi Intézet (BKI)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1"/>
            <w:shd w:fill="ffffff" w:val="clear"/>
          </w:tcPr>
          <w:p w:rsidR="00000000" w:rsidDel="00000000" w:rsidP="00000000" w:rsidRDefault="00000000" w:rsidRPr="00000000" w14:paraId="0000000E">
            <w:pPr>
              <w:pStyle w:val="Heading1"/>
              <w:tabs>
                <w:tab w:val="right" w:leader="none" w:pos="9072"/>
              </w:tabs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0"/>
                <w:sz w:val="20"/>
                <w:szCs w:val="20"/>
                <w:rtl w:val="0"/>
              </w:rPr>
              <w:t xml:space="preserve">Tantárgy neve és kódja: </w:t>
            </w:r>
            <w:r w:rsidDel="00000000" w:rsidR="00000000" w:rsidRPr="00000000">
              <w:rPr>
                <w:rtl w:val="0"/>
              </w:rPr>
              <w:t xml:space="preserve">Kockázatmenedzsment  BBXKM15BNE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1"/>
              <w:tabs>
                <w:tab w:val="right" w:leader="none" w:pos="9072"/>
              </w:tabs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b w:val="1"/>
                <w:i w:val="0"/>
                <w:sz w:val="20"/>
                <w:szCs w:val="20"/>
                <w:rtl w:val="0"/>
              </w:rPr>
              <w:t xml:space="preserve">Kreditérték: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1A">
            <w:pPr>
              <w:tabs>
                <w:tab w:val="left" w:leader="none" w:pos="3261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Szakok melyeken a tárgyat oktatják: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Biztonságtechnika Szak / Információbiztonság szakirány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32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Tantárgyfelelős oktató: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Dr. habil. Kerti András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Oktatók: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Dr. habil. Kerti András</w:t>
            </w:r>
          </w:p>
        </w:tc>
      </w:tr>
      <w:tr>
        <w:trPr>
          <w:cantSplit w:val="1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Előtanulmányi feltételek: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(kóddal)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35">
            <w:pPr>
              <w:tabs>
                <w:tab w:val="left" w:leader="none" w:pos="3261"/>
              </w:tabs>
              <w:rPr/>
            </w:pPr>
            <w:r w:rsidDel="00000000" w:rsidR="00000000" w:rsidRPr="00000000">
              <w:rPr>
                <w:rtl w:val="0"/>
              </w:rPr>
              <w:t xml:space="preserve">nincs</w:t>
            </w:r>
          </w:p>
        </w:tc>
      </w:tr>
      <w:tr>
        <w:trPr>
          <w:cantSplit w:val="1"/>
          <w:trHeight w:val="2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Heti óraszámok: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Előadás: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Tantermi gyak.: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Laborgyakorlat: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Konzultáció: 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Számonkérés módja (s,v,f):</w:t>
            </w:r>
          </w:p>
        </w:tc>
        <w:tc>
          <w:tcPr>
            <w:gridSpan w:val="9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Évközi jegy – évközi munkák és gyakorlatok érékelései alapján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1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pStyle w:val="Heading1"/>
              <w:rPr>
                <w:b w:val="1"/>
                <w:i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rtl w:val="0"/>
              </w:rPr>
              <w:t xml:space="preserve">A tananyag</w:t>
            </w:r>
          </w:p>
        </w:tc>
      </w:tr>
      <w:tr>
        <w:trPr>
          <w:cantSplit w:val="1"/>
          <w:tblHeader w:val="0"/>
        </w:trPr>
        <w:tc>
          <w:tcPr>
            <w:gridSpan w:val="11"/>
            <w:shd w:fill="ffffff" w:val="clear"/>
          </w:tcPr>
          <w:p w:rsidR="00000000" w:rsidDel="00000000" w:rsidP="00000000" w:rsidRDefault="00000000" w:rsidRPr="00000000" w14:paraId="0000005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Oktatási cél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hallgatók megismerjék az elektronikus rendszerek teljes életciklusában végrehajtásra kerülő kockázatelemzési és kockázatkezelési eljárásokat az ezeket szabályozó szabvány és keretrendszert, ismerjék meg az elektronikus kockázatelemzés és kockázatmenedzsment feladatok gyakorlati végrehajtásának rendjét.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Témakör: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Óraszám: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7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Elméleti modul:A kockázatmenedzsment alapfogalmai, A kockázatmenedzsment célja és szerepe az információbiztonságban. A kockázat menedzsment folyamata.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8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Elméleti modul: Az információs vagyontárgyak fogalma fajtái, értékük, felmérésűk lehetséges módozatai. Vagyonleltár.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8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Elméleti modul: Az információs vagyontárgyak fenyegetései. A fenyegető tényezők, céljai motivációja. Külső belső fenyegetések. A fenyegetések, felmérése, értékelése.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9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Elméleti modul: Az információs vagyontárgyak fizikai, adminisztratív, személyi és elektronikus (hardvere, szoftver) sebezhetőségei. A sebezhetőségek felmérése, értékelése.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A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Elméleti modul: A bekövetkezési valószínűség, és a kockázat értékének becslése értékelése az értékelés lehetséges módszertanai. A kockázat jelentés tartalma.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A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Elméleti modul: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Zárhelyi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B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Közös gyakorlás modul: A „példa” vállalat vállalati kockázatainak, vagyontárgyainak, felmérése, értékelése közös órai munka keretében.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C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Közös gyakorlás modul: A „példa” vállalat információbiztonsági sebezhetőségeinek és fenyegetéseinek felmérése, értékelése közös órai munka keretében.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C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Közös gyakorlás modul: A „példa” vállalat információbiztonsági kockázatainak, becslése értékelése a kockázat jelentés elkészítése közös órai munka keretében.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D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Egyéni gyakorlás modul: A „példa” vállalat vállalati kockázatainak, vagyontárgyainak, felmérése, értékelése egyéni munka keretében.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E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Egyéni gyakorlás modul: A „példa” vállalat információbiztonsági sebezhetőségeinek és fenyegetéseinek felmérése, értékelése egyéni munka keretében.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E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Egyéni gyakorlás modul: A „példa” vállalat információbiztonsági kockázatainak, becslése értékelése a kockázat jelentés elkészítése egyéni munka keretében.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F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Összefoglalás, Értékelés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Javítási lehetőség. </w:t>
            </w:r>
          </w:p>
          <w:p w:rsidR="00000000" w:rsidDel="00000000" w:rsidP="00000000" w:rsidRDefault="00000000" w:rsidRPr="00000000" w14:paraId="000000F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10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-- (rektori szünet hét) 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</w:t>
            </w:r>
          </w:p>
        </w:tc>
      </w:tr>
      <w:tr>
        <w:trPr>
          <w:cantSplit w:val="1"/>
          <w:trHeight w:val="580" w:hRule="atLeast"/>
          <w:tblHeader w:val="0"/>
        </w:trPr>
        <w:tc>
          <w:tcPr>
            <w:gridSpan w:val="11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Félévközi követelmények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80" w:hRule="atLeast"/>
          <w:tblHeader w:val="0"/>
        </w:trPr>
        <w:tc>
          <w:tcPr>
            <w:gridSpan w:val="11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numPr>
                <w:ilvl w:val="0"/>
                <w:numId w:val="2"/>
              </w:numPr>
              <w:ind w:left="3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Nappali: A félévben során 12 héten 1-1 témakörben előadás+gyakorlat. A félév értékelésének alapját a heti gyakorlatok és (a kötelező) beadandó feladatok eredményei képezik:</w:t>
            </w:r>
          </w:p>
          <w:p w:rsidR="00000000" w:rsidDel="00000000" w:rsidP="00000000" w:rsidRDefault="00000000" w:rsidRPr="00000000" w14:paraId="00000122">
            <w:pPr>
              <w:numPr>
                <w:ilvl w:val="1"/>
                <w:numId w:val="2"/>
              </w:numPr>
              <w:ind w:left="108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Az első 12 alkalomból több mint 4 hiányzás esetén, vagy kevesebb mint 40 % teljesített pontok esetén: letiltás</w:t>
            </w:r>
          </w:p>
          <w:p w:rsidR="00000000" w:rsidDel="00000000" w:rsidP="00000000" w:rsidRDefault="00000000" w:rsidRPr="00000000" w14:paraId="00000123">
            <w:pPr>
              <w:numPr>
                <w:ilvl w:val="1"/>
                <w:numId w:val="2"/>
              </w:numPr>
              <w:ind w:left="108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Összegyűjtött pontok alapján: 2: 60-69 %, 3: 70-79 %, 4: 80-89 %, 5: 90-100 %</w:t>
            </w:r>
          </w:p>
          <w:p w:rsidR="00000000" w:rsidDel="00000000" w:rsidP="00000000" w:rsidRDefault="00000000" w:rsidRPr="00000000" w14:paraId="00000124">
            <w:pPr>
              <w:numPr>
                <w:ilvl w:val="1"/>
                <w:numId w:val="2"/>
              </w:numPr>
              <w:ind w:left="108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Utolsó órán (ha nincs letiltás): javítási lehetőség</w:t>
            </w:r>
          </w:p>
          <w:p w:rsidR="00000000" w:rsidDel="00000000" w:rsidP="00000000" w:rsidRDefault="00000000" w:rsidRPr="00000000" w14:paraId="00000125">
            <w:pPr>
              <w:numPr>
                <w:ilvl w:val="1"/>
                <w:numId w:val="2"/>
              </w:numPr>
              <w:ind w:left="108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Aláírás-pótló vizsga (ha nincs letiltás) – írásbeli vizsga a vizsgaidőszak első 2 hetében. (Határok: 2: 60-69 %, 3: 70-79 %, 4: 80-89 %, 5: 90-100 %)</w:t>
            </w:r>
          </w:p>
          <w:p w:rsidR="00000000" w:rsidDel="00000000" w:rsidP="00000000" w:rsidRDefault="00000000" w:rsidRPr="00000000" w14:paraId="000001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gridSpan w:val="11"/>
            <w:shd w:fill="ffffff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Irodalom: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3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Kötelező: 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1"/>
              </w:numPr>
              <w:ind w:left="72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Elektronikus előadás vázlat, saját kézzel írt jegyzet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1"/>
              </w:numPr>
              <w:ind w:left="72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MSZ ISO/IEC 27001 Informatika. Biztonságtechnika. Az információbiztonság irányítási rendszerei. Követelmények 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1"/>
              </w:numPr>
              <w:ind w:left="72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ISO/IEC 27005 Information technology — Security techniques — Information security risk management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NIST Special Publication 800-30   Guide for Conducting Risk Assessments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Ajánlott: </w:t>
            </w:r>
          </w:p>
          <w:p w:rsidR="00000000" w:rsidDel="00000000" w:rsidP="00000000" w:rsidRDefault="00000000" w:rsidRPr="00000000" w14:paraId="000001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pótlás módja:</w:t>
            </w:r>
          </w:p>
          <w:p w:rsidR="00000000" w:rsidDel="00000000" w:rsidP="00000000" w:rsidRDefault="00000000" w:rsidRPr="00000000" w14:paraId="000001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Aláírás pótlása szorgalmi időszakban: </w:t>
            </w:r>
          </w:p>
          <w:p w:rsidR="00000000" w:rsidDel="00000000" w:rsidP="00000000" w:rsidRDefault="00000000" w:rsidRPr="00000000" w14:paraId="000001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félév során a felkészültség szintje zárthelyi dolgozattal ellenőrizhető, amelyeket egy alkalommal pótolni lehet. Az aláírás feltétele az összes előírt az összes zárthelyi „megfelelt” szintű teljesítése.</w:t>
            </w:r>
          </w:p>
          <w:p w:rsidR="00000000" w:rsidDel="00000000" w:rsidP="00000000" w:rsidRDefault="00000000" w:rsidRPr="00000000" w14:paraId="00000144">
            <w:pPr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Zamárdi, 2023. augusztus 31.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…………………….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Tantárgyfelelős oktató: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51" w:top="851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738"/>
      <w:numFmt w:val="bullet"/>
      <w:lvlText w:val="–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i w:val="1"/>
    </w:rPr>
  </w:style>
  <w:style w:type="paragraph" w:styleId="Heading2">
    <w:name w:val="heading 2"/>
    <w:basedOn w:val="Normal"/>
    <w:next w:val="Normal"/>
    <w:pPr>
      <w:keepNext w:val="1"/>
    </w:pPr>
    <w:rPr>
      <w:i w:val="1"/>
    </w:rPr>
  </w:style>
  <w:style w:type="paragraph" w:styleId="Heading3">
    <w:name w:val="heading 3"/>
    <w:basedOn w:val="Normal"/>
    <w:next w:val="Normal"/>
    <w:pPr>
      <w:keepNext w:val="1"/>
      <w:jc w:val="right"/>
    </w:pPr>
    <w:rPr>
      <w:i w:val="1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 w:val="1"/>
    <w:pPr>
      <w:keepNext w:val="1"/>
      <w:jc w:val="center"/>
      <w:outlineLvl w:val="0"/>
    </w:pPr>
    <w:rPr>
      <w:i w:val="1"/>
      <w:iCs w:val="1"/>
    </w:rPr>
  </w:style>
  <w:style w:type="paragraph" w:styleId="Cmsor2">
    <w:name w:val="heading 2"/>
    <w:basedOn w:val="Norml"/>
    <w:next w:val="Norml"/>
    <w:link w:val="Cmsor2Char"/>
    <w:uiPriority w:val="99"/>
    <w:qFormat w:val="1"/>
    <w:pPr>
      <w:keepNext w:val="1"/>
      <w:outlineLvl w:val="1"/>
    </w:pPr>
    <w:rPr>
      <w:i w:val="1"/>
      <w:iCs w:val="1"/>
    </w:rPr>
  </w:style>
  <w:style w:type="paragraph" w:styleId="Cmsor3">
    <w:name w:val="heading 3"/>
    <w:basedOn w:val="Norml"/>
    <w:next w:val="Norml"/>
    <w:link w:val="Cmsor3Char"/>
    <w:uiPriority w:val="99"/>
    <w:qFormat w:val="1"/>
    <w:pPr>
      <w:keepNext w:val="1"/>
      <w:jc w:val="right"/>
      <w:outlineLvl w:val="2"/>
    </w:pPr>
    <w:rPr>
      <w:i w:val="1"/>
      <w:iCs w:val="1"/>
    </w:rPr>
  </w:style>
  <w:style w:type="paragraph" w:styleId="Cmsor4">
    <w:name w:val="heading 4"/>
    <w:basedOn w:val="Norml"/>
    <w:next w:val="Norml"/>
    <w:link w:val="Cmsor4Char"/>
    <w:uiPriority w:val="99"/>
    <w:qFormat w:val="1"/>
    <w:pPr>
      <w:keepNext w:val="1"/>
      <w:outlineLvl w:val="3"/>
    </w:pPr>
    <w:rPr>
      <w:b w:val="1"/>
      <w:bCs w:val="1"/>
    </w:rPr>
  </w:style>
  <w:style w:type="paragraph" w:styleId="Cmsor5">
    <w:name w:val="heading 5"/>
    <w:basedOn w:val="Norml"/>
    <w:next w:val="Norml"/>
    <w:link w:val="Cmsor5Char"/>
    <w:uiPriority w:val="99"/>
    <w:qFormat w:val="1"/>
    <w:pPr>
      <w:keepNext w:val="1"/>
      <w:outlineLvl w:val="4"/>
    </w:pPr>
    <w:rPr>
      <w:b w:val="1"/>
      <w:bCs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link w:val="Cmsor1"/>
    <w:uiPriority w:val="9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Cmsor2Char" w:customStyle="1">
    <w:name w:val="Címsor 2 Char"/>
    <w:link w:val="Cmsor2"/>
    <w:uiPriority w:val="9"/>
    <w:semiHidden w:val="1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Cmsor3Char" w:customStyle="1">
    <w:name w:val="Címsor 3 Char"/>
    <w:link w:val="Cmsor3"/>
    <w:uiPriority w:val="9"/>
    <w:semiHidden w:val="1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Cmsor4Char" w:customStyle="1">
    <w:name w:val="Címsor 4 Char"/>
    <w:link w:val="Cmsor4"/>
    <w:uiPriority w:val="9"/>
    <w:semiHidden w:val="1"/>
    <w:rPr>
      <w:rFonts w:ascii="Calibri" w:cs="Times New Roman" w:eastAsia="Times New Roman" w:hAnsi="Calibri"/>
      <w:b w:val="1"/>
      <w:bCs w:val="1"/>
      <w:sz w:val="28"/>
      <w:szCs w:val="28"/>
    </w:rPr>
  </w:style>
  <w:style w:type="character" w:styleId="Cmsor5Char" w:customStyle="1">
    <w:name w:val="Címsor 5 Char"/>
    <w:link w:val="Cmsor5"/>
    <w:uiPriority w:val="9"/>
    <w:semiHidden w:val="1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styleId="lfejChar" w:customStyle="1">
    <w:name w:val="Élőfej Char"/>
    <w:link w:val="lfej"/>
    <w:uiPriority w:val="99"/>
    <w:semiHidden w:val="1"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llbChar" w:customStyle="1">
    <w:name w:val="Élőláb Char"/>
    <w:link w:val="llb"/>
    <w:uiPriority w:val="99"/>
    <w:semiHidden w:val="1"/>
    <w:rPr>
      <w:sz w:val="24"/>
      <w:szCs w:val="24"/>
    </w:rPr>
  </w:style>
  <w:style w:type="paragraph" w:styleId="Normlbehzs">
    <w:name w:val="Normal Indent"/>
    <w:basedOn w:val="Norml"/>
    <w:uiPriority w:val="99"/>
    <w:pPr>
      <w:ind w:left="567" w:firstLine="238"/>
    </w:pPr>
    <w:rPr>
      <w:rFonts w:ascii="Garamond" w:cs="Garamond" w:hAnsi="Garamond"/>
      <w:lang w:val="en-GB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styleId="SzvegtrzsChar" w:customStyle="1">
    <w:name w:val="Szövegtörzs Char"/>
    <w:link w:val="Szvegtrzs"/>
    <w:uiPriority w:val="99"/>
    <w:semiHidden w:val="1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</w:pPr>
  </w:style>
  <w:style w:type="character" w:styleId="Szvegtrzs2Char" w:customStyle="1">
    <w:name w:val="Szövegtörzs 2 Char"/>
    <w:link w:val="Szvegtrzs2"/>
    <w:uiPriority w:val="99"/>
    <w:semiHidden w:val="1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705"/>
      <w:jc w:val="both"/>
    </w:pPr>
  </w:style>
  <w:style w:type="character" w:styleId="Szvegtrzsbehzssal2Char" w:customStyle="1">
    <w:name w:val="Szövegtörzs behúzással 2 Char"/>
    <w:link w:val="Szvegtrzsbehzssal2"/>
    <w:uiPriority w:val="99"/>
    <w:semiHidden w:val="1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spacing w:line="360" w:lineRule="auto"/>
      <w:ind w:left="708"/>
      <w:jc w:val="both"/>
    </w:pPr>
  </w:style>
  <w:style w:type="character" w:styleId="Szvegtrzsbehzssal3Char" w:customStyle="1">
    <w:name w:val="Szövegtörzs behúzással 3 Char"/>
    <w:link w:val="Szvegtrzsbehzssal3"/>
    <w:uiPriority w:val="99"/>
    <w:semiHidden w:val="1"/>
    <w:rPr>
      <w:sz w:val="16"/>
      <w:szCs w:val="16"/>
    </w:rPr>
  </w:style>
  <w:style w:type="paragraph" w:styleId="Felsorols">
    <w:name w:val="List Bullet"/>
    <w:basedOn w:val="Norml"/>
    <w:autoRedefine w:val="1"/>
    <w:uiPriority w:val="99"/>
    <w:pPr>
      <w:ind w:left="851" w:hanging="851"/>
    </w:pPr>
    <w:rPr>
      <w:sz w:val="22"/>
      <w:szCs w:val="22"/>
    </w:rPr>
  </w:style>
  <w:style w:type="table" w:styleId="Rcsostblzat">
    <w:name w:val="Table Grid"/>
    <w:basedOn w:val="Normltblzat"/>
    <w:uiPriority w:val="99"/>
    <w:rsid w:val="006052F9"/>
    <w:pPr>
      <w:autoSpaceDE w:val="0"/>
      <w:autoSpaceDN w:val="0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hivatkozs">
    <w:name w:val="Hyperlink"/>
    <w:uiPriority w:val="99"/>
    <w:unhideWhenUsed w:val="1"/>
    <w:rsid w:val="00490A9A"/>
    <w:rPr>
      <w:color w:val="0000ff"/>
      <w:u w:val="single"/>
    </w:rPr>
  </w:style>
  <w:style w:type="character" w:styleId="object3" w:customStyle="1">
    <w:name w:val="object3"/>
    <w:rsid w:val="00283948"/>
    <w:rPr>
      <w:strike w:val="0"/>
      <w:dstrike w:val="0"/>
      <w:color w:val="00008b"/>
      <w:u w:val="none"/>
      <w:effect w:val="none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 w:val="1"/>
    <w:rsid w:val="005B4561"/>
    <w:pPr>
      <w:autoSpaceDE w:val="1"/>
      <w:autoSpaceDN w:val="1"/>
      <w:spacing w:after="200" w:line="276" w:lineRule="auto"/>
      <w:ind w:left="720"/>
      <w:contextualSpacing w:val="1"/>
    </w:pPr>
    <w:rPr>
      <w:rFonts w:ascii="Calibri" w:hAnsi="Calibri"/>
      <w:sz w:val="22"/>
      <w:szCs w:val="22"/>
    </w:rPr>
  </w:style>
  <w:style w:type="character" w:styleId="ListaszerbekezdsChar" w:customStyle="1">
    <w:name w:val="Listaszerű bekezdés Char"/>
    <w:aliases w:val="Számozott lista 1 Char"/>
    <w:link w:val="Listaszerbekezds"/>
    <w:uiPriority w:val="34"/>
    <w:rsid w:val="005B4561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5B4561"/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link w:val="Buborkszveg"/>
    <w:uiPriority w:val="99"/>
    <w:semiHidden w:val="1"/>
    <w:rsid w:val="005B4561"/>
    <w:rPr>
      <w:rFonts w:ascii="Tahoma" w:cs="Tahoma" w:hAnsi="Tahoma"/>
      <w:sz w:val="16"/>
      <w:szCs w:val="16"/>
    </w:rPr>
  </w:style>
  <w:style w:type="character" w:styleId="tablerowname" w:customStyle="1">
    <w:name w:val="tablerowname"/>
    <w:basedOn w:val="Bekezdsalapbettpusa"/>
    <w:rsid w:val="0042645D"/>
  </w:style>
  <w:style w:type="character" w:styleId="tablerowdata" w:customStyle="1">
    <w:name w:val="tablerowdata"/>
    <w:basedOn w:val="Bekezdsalapbettpusa"/>
    <w:rsid w:val="0042645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f7bzn6junQvG8N3ISpOv1AETA==">CgMxLjA4AHIhMVZGSnlRbE41MUxjS01QemxSQzFBYVd5bVM2OGJLS0k3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2023-08-31T12:38:00Z</dcterms:created>
  <dc:creator>kertia</dc:creator>
</cp:coreProperties>
</file>