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4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208"/>
        <w:gridCol w:w="1067"/>
        <w:gridCol w:w="284"/>
        <w:gridCol w:w="110"/>
        <w:gridCol w:w="26"/>
        <w:gridCol w:w="851"/>
        <w:gridCol w:w="420"/>
        <w:gridCol w:w="241"/>
        <w:gridCol w:w="167"/>
        <w:gridCol w:w="589"/>
        <w:gridCol w:w="421"/>
        <w:gridCol w:w="435"/>
        <w:tblGridChange w:id="0">
          <w:tblGrid>
            <w:gridCol w:w="945"/>
            <w:gridCol w:w="382"/>
            <w:gridCol w:w="7"/>
            <w:gridCol w:w="171"/>
            <w:gridCol w:w="404"/>
            <w:gridCol w:w="139"/>
            <w:gridCol w:w="290"/>
            <w:gridCol w:w="563"/>
            <w:gridCol w:w="142"/>
            <w:gridCol w:w="278"/>
            <w:gridCol w:w="10"/>
            <w:gridCol w:w="270"/>
            <w:gridCol w:w="9"/>
            <w:gridCol w:w="429"/>
            <w:gridCol w:w="126"/>
            <w:gridCol w:w="300"/>
            <w:gridCol w:w="208"/>
            <w:gridCol w:w="1067"/>
            <w:gridCol w:w="284"/>
            <w:gridCol w:w="110"/>
            <w:gridCol w:w="26"/>
            <w:gridCol w:w="851"/>
            <w:gridCol w:w="420"/>
            <w:gridCol w:w="241"/>
            <w:gridCol w:w="167"/>
            <w:gridCol w:w="589"/>
            <w:gridCol w:w="421"/>
            <w:gridCol w:w="435"/>
          </w:tblGrid>
        </w:tblGridChange>
      </w:tblGrid>
      <w:tr>
        <w:trPr>
          <w:cantSplit w:val="1"/>
          <w:trHeight w:val="448" w:hRule="atLeast"/>
          <w:tblHeader w:val="0"/>
        </w:trP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2">
            <w:pPr>
              <w:pStyle w:val="Heading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Óbudai Egyetem</w:t>
            </w:r>
          </w:p>
          <w:p w:rsidR="00000000" w:rsidDel="00000000" w:rsidP="00000000" w:rsidRDefault="00000000" w:rsidRPr="00000000" w14:paraId="00000003">
            <w:pPr>
              <w:pStyle w:val="Heading2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Bánki Donát Gépész és Biztonságtechnikai Mérnöki Kar 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Style w:val="Heading3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Heading3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Biztonságtudományi és Kibervédelmi  Intézet</w:t>
            </w: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pStyle w:val="Heading1"/>
              <w:tabs>
                <w:tab w:val="left" w:leader="none" w:pos="284"/>
                <w:tab w:val="left" w:leader="none" w:pos="7655"/>
              </w:tabs>
              <w:jc w:val="left"/>
              <w:rPr>
                <w:b w:val="1"/>
                <w:i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0"/>
                <w:sz w:val="22"/>
                <w:szCs w:val="22"/>
                <w:rtl w:val="0"/>
              </w:rPr>
              <w:t xml:space="preserve">Tantárgy címe és kódja: </w:t>
            </w:r>
          </w:p>
        </w:tc>
        <w:tc>
          <w:tcPr>
            <w:gridSpan w:val="1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pStyle w:val="Heading1"/>
              <w:tabs>
                <w:tab w:val="left" w:leader="none" w:pos="284"/>
                <w:tab w:val="left" w:leader="none" w:pos="7655"/>
              </w:tabs>
              <w:jc w:val="left"/>
              <w:rPr>
                <w:b w:val="1"/>
                <w:i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0"/>
                <w:sz w:val="22"/>
                <w:szCs w:val="22"/>
                <w:rtl w:val="0"/>
              </w:rPr>
              <w:t xml:space="preserve">Projektmenedzsment </w:t>
            </w:r>
            <w:r w:rsidDel="00000000" w:rsidR="00000000" w:rsidRPr="00000000">
              <w:rPr>
                <w:rtl w:val="0"/>
              </w:rPr>
              <w:t xml:space="preserve">BTXPM14BNF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pStyle w:val="Heading1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0"/>
                <w:sz w:val="22"/>
                <w:szCs w:val="22"/>
                <w:rtl w:val="0"/>
              </w:rPr>
              <w:t xml:space="preserve">Kreditérték: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pStyle w:val="Heading1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pStyle w:val="Heading1"/>
              <w:tabs>
                <w:tab w:val="left" w:leader="none" w:pos="284"/>
                <w:tab w:val="left" w:leader="none" w:pos="7655"/>
              </w:tabs>
              <w:jc w:val="right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Nappali munkarend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pStyle w:val="Heading1"/>
              <w:tabs>
                <w:tab w:val="left" w:leader="none" w:pos="284"/>
                <w:tab w:val="left" w:leader="none" w:pos="7655"/>
              </w:tabs>
              <w:jc w:val="right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pStyle w:val="Heading1"/>
              <w:tabs>
                <w:tab w:val="left" w:leader="none" w:pos="284"/>
                <w:tab w:val="left" w:leader="none" w:pos="7655"/>
              </w:tabs>
              <w:jc w:val="right"/>
              <w:rPr>
                <w:b w:val="1"/>
                <w:i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tanév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pStyle w:val="Heading1"/>
              <w:tabs>
                <w:tab w:val="left" w:leader="none" w:pos="284"/>
                <w:tab w:val="left" w:leader="none" w:pos="7655"/>
              </w:tabs>
              <w:jc w:val="left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pStyle w:val="Heading1"/>
              <w:tabs>
                <w:tab w:val="left" w:leader="none" w:pos="284"/>
                <w:tab w:val="center" w:leader="none" w:pos="2128"/>
              </w:tabs>
              <w:jc w:val="left"/>
              <w:rPr>
                <w:b w:val="1"/>
                <w:i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félév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4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Szakok melyeken a tárgyat oktatják: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Biztonságtechnikai mérnök BSc.</w:t>
            </w:r>
          </w:p>
        </w:tc>
      </w:tr>
      <w:tr>
        <w:trPr>
          <w:cantSplit w:val="1"/>
          <w:trHeight w:val="301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Tantárgyfelelős oktató: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Prof. Dr. Michelberger Pál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Oktatók: 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Prof. Dr. Michelberger Pál</w:t>
            </w:r>
          </w:p>
        </w:tc>
      </w:tr>
      <w:tr>
        <w:trPr>
          <w:cantSplit w:val="1"/>
          <w:trHeight w:val="129" w:hRule="atLeast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Előtanulmányi feltételek (kóddal):</w:t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</w:p>
        </w:tc>
      </w:tr>
      <w:tr>
        <w:trPr>
          <w:cantSplit w:val="1"/>
          <w:trHeight w:val="129" w:hRule="atLeast"/>
          <w:tblHeader w:val="0"/>
        </w:trPr>
        <w:tc>
          <w:tcPr>
            <w:gridSpan w:val="2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Heti óraszámok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Előadás: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Tantermi gyak.: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Laborgyakorlat: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Konzultáció: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Félévzárás módja: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Évközi jegy</w:t>
            </w:r>
          </w:p>
        </w:tc>
        <w:tc>
          <w:tcPr>
            <w:gridSpan w:val="18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tabs>
                <w:tab w:val="left" w:leader="none" w:pos="141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(Írásbeli és szóbeli)</w:t>
            </w:r>
          </w:p>
        </w:tc>
      </w:tr>
      <w:tr>
        <w:trPr>
          <w:cantSplit w:val="1"/>
          <w:trHeight w:val="224" w:hRule="atLeast"/>
          <w:tblHeader w:val="0"/>
        </w:trPr>
        <w:tc>
          <w:tcPr>
            <w:gridSpan w:val="1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0">
            <w:pPr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Online konzultáció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(amennyiben szükséges):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… (BBB link)</w:t>
            </w:r>
          </w:p>
        </w:tc>
      </w:tr>
      <w:tr>
        <w:trPr>
          <w:cantSplit w:val="1"/>
          <w:trHeight w:val="342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Oktatási cél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Projekt fogalma, főbb elemeinek megismerése. Projektek tipizálása. A projektmenedzsment célja és eszközei. Projekttervezés (átfutási idő, erőforrás-szükséglet, minőségbiztosítás). Projekt ellenőrzés és -zárás. Sikeres projekt érdekében végzett csoportmunka feltételei és lehetőségei. Gantt diagramm. Hálótervező technikák. Hálótervező szoftverek alkalmazása. Többszempontú összehasonlító módszerek alkalmazása beruházási döntéseknél.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2" w:hRule="atLeast"/>
          <w:tblHeader w:val="0"/>
        </w:trPr>
        <w:tc>
          <w:tcPr>
            <w:gridSpan w:val="2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Ütemezés </w:t>
            </w:r>
          </w:p>
        </w:tc>
      </w:tr>
      <w:tr>
        <w:trPr>
          <w:cantSplit w:val="1"/>
          <w:trHeight w:val="282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Oktatási hét</w:t>
            </w:r>
          </w:p>
        </w:tc>
        <w:tc>
          <w:tcPr>
            <w:gridSpan w:val="2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Témakörök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</w:t>
            </w:r>
          </w:p>
        </w:tc>
        <w:tc>
          <w:tcPr>
            <w:gridSpan w:val="2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Projekt fogalma, jellemzői, típusai és életciklusa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</w:t>
            </w:r>
          </w:p>
        </w:tc>
        <w:tc>
          <w:tcPr>
            <w:gridSpan w:val="26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Projektmenedzsment filozófiák, módszertanok, támogató eszközök, a projekt szervezete, gazdaságossága és megtérülése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</w:t>
            </w:r>
          </w:p>
        </w:tc>
        <w:tc>
          <w:tcPr>
            <w:gridSpan w:val="26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Saját projekt célmeghatározás, tevékenység-lista összeállítása, átfutási idő és erőforrásigények becslése, tevékenységek logikai kapcsolatainak megadása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</w:t>
            </w:r>
          </w:p>
        </w:tc>
        <w:tc>
          <w:tcPr>
            <w:gridSpan w:val="26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Projekttervezés, Gantt diagramm, hálótervezés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</w:t>
            </w:r>
          </w:p>
        </w:tc>
        <w:tc>
          <w:tcPr>
            <w:gridSpan w:val="26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Projekt megvalósítás, ellenőrzés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</w:t>
            </w:r>
          </w:p>
        </w:tc>
        <w:tc>
          <w:tcPr>
            <w:gridSpan w:val="26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Projekt minőségbiztosítása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</w:t>
            </w:r>
          </w:p>
        </w:tc>
        <w:tc>
          <w:tcPr>
            <w:gridSpan w:val="26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Hálótervező programok használata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</w:t>
            </w:r>
          </w:p>
        </w:tc>
        <w:tc>
          <w:tcPr>
            <w:gridSpan w:val="26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Projekt zárása, projekt-termék átadása, a projekt sikertényezői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</w:t>
            </w:r>
          </w:p>
        </w:tc>
        <w:tc>
          <w:tcPr>
            <w:gridSpan w:val="26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Hálóterv optimalizálása, átfutási idő rövidítése és / vagy erőforrás igény csökkentése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</w:t>
            </w:r>
          </w:p>
        </w:tc>
        <w:tc>
          <w:tcPr>
            <w:gridSpan w:val="26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Projektekhez kapcsolható beszerzési feladatok, többszempontú összehasonlító módszerek 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</w:t>
            </w:r>
          </w:p>
        </w:tc>
        <w:tc>
          <w:tcPr>
            <w:gridSpan w:val="2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 projekt-kockázatok megállapítása és kezelése, bizonytalanságok, veszélyek és fenyegetések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</w:t>
            </w:r>
          </w:p>
        </w:tc>
        <w:tc>
          <w:tcPr>
            <w:gridSpan w:val="2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Projekt vezetése, kommunikációja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</w:t>
            </w:r>
          </w:p>
        </w:tc>
        <w:tc>
          <w:tcPr>
            <w:gridSpan w:val="2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Dokumentált hálóterv csoportos prezentációja 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</w:t>
            </w:r>
          </w:p>
        </w:tc>
        <w:tc>
          <w:tcPr>
            <w:gridSpan w:val="26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Dokumentált hálóterv csoportos prezentációja </w:t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gridSpan w:val="2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Félévközi követelmények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gridSpan w:val="9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3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Zárthelyi dolgozat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Beadandó csoportos feladat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Labormérés</w:t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3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száma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3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időpontok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3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száma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34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határidők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3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száma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3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időpontok</w:t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0db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5db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4., 6., 8., 1., és 13. oktatási hét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db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8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Az értékelés, a lebonyolítás, a pótlás módja, a jegy kialakításának szempontjai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9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Az aláírás feltételei:</w:t>
            </w:r>
          </w:p>
          <w:p w:rsidR="00000000" w:rsidDel="00000000" w:rsidP="00000000" w:rsidRDefault="00000000" w:rsidRPr="00000000" w14:paraId="0000036B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●</w:t>
              <w:tab/>
              <w:t xml:space="preserve">részvétel a foglalkozásokon </w:t>
            </w:r>
          </w:p>
          <w:p w:rsidR="00000000" w:rsidDel="00000000" w:rsidP="00000000" w:rsidRDefault="00000000" w:rsidRPr="00000000" w14:paraId="0000036C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●</w:t>
              <w:tab/>
              <w:t xml:space="preserve">Az összefoglaló beadandó anyagok legalább 50%-os teljesítése</w:t>
            </w:r>
          </w:p>
          <w:p w:rsidR="00000000" w:rsidDel="00000000" w:rsidP="00000000" w:rsidRDefault="00000000" w:rsidRPr="00000000" w14:paraId="0000036D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 félév során teljesítendő feladatok részletezése (csoportonként);</w:t>
            </w:r>
          </w:p>
          <w:p w:rsidR="00000000" w:rsidDel="00000000" w:rsidP="00000000" w:rsidRDefault="00000000" w:rsidRPr="00000000" w14:paraId="0000036E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Állítsanak össze egy 12-20 tevékenységből álló projektet (pl., kamerarendszer kialakítása,  szerszámgép telepítés, haszonjármű beszerzés, kutatási feladat ütemezése, információs rendszer fejlesztése). Adják meg a tevékenységek becsült idejét is Excel táblázatban! Határidő: 4. hét (e-mailben és Moodle rendszerben egyaránt csoportonként)</w:t>
            </w:r>
          </w:p>
          <w:p w:rsidR="00000000" w:rsidDel="00000000" w:rsidP="00000000" w:rsidRDefault="00000000" w:rsidRPr="00000000" w14:paraId="00000370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Készítsék el a projekt Gantt diagrammját, megadva ezzel a projekt átfutási idejét lehetőleg a Ganttproject alkalmazás használatával! Határidő: 6. hét (e-mailben és Moodle rendszerben egyaránt csoportonként .gan kiterjrsztésű fájl…)</w:t>
            </w:r>
          </w:p>
          <w:p w:rsidR="00000000" w:rsidDel="00000000" w:rsidP="00000000" w:rsidRDefault="00000000" w:rsidRPr="00000000" w14:paraId="00000372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Adják meg a tevékenységek logikai kapcsolatát megelőző és követő tevékenységek azonosítójával. (A projektnek egy kezdő és egy záró tevékenysége legyen!) Rögzítsék az adatokat a hálótervező programban! Ellenőrizzék, hogy a projekt lebonyolítható legyen! Vizsgálják meg, hogy a kritikus úton lévő tevékenységlánc átalakításával (időadatok módosítása) milyen reális átfutási idő-csökkentést érhetnek el! Rendeljenek erőforrásokat a tevékenységek végrehajtásához! Határidő: 8. hét (e-mail-ben és a Moodle rendszerbe feltöltve, „.gan” kiterjesztésű fájlok csoportonként)</w:t>
            </w:r>
          </w:p>
          <w:p w:rsidR="00000000" w:rsidDel="00000000" w:rsidP="00000000" w:rsidRDefault="00000000" w:rsidRPr="00000000" w14:paraId="00000374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Állítsanak össze mérhető, műszaki és gazdasági kritériumokat tartalmazó súlyozott kiválasztási szempontrendszert valamilyen termék (pl. autógumi, kerékpár, mosógép, szerszámgép, mobil telefon, kamera) beszerzéséhez. (A termék kapcsolódjon az előző projekthez!) Pontozzák, értékeljék a lehetséges beszerzési alternatívákat a szempontrendszer alapján és döntsenek, hogy melyik beszerzést javasolják. Határidő: 10. hét (Excel táblázat, csoportonként, e-mailben és a Moodle rendszerbe feltöltve)</w:t>
            </w:r>
          </w:p>
          <w:p w:rsidR="00000000" w:rsidDel="00000000" w:rsidP="00000000" w:rsidRDefault="00000000" w:rsidRPr="00000000" w14:paraId="00000376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 13. héttől kezdődően a félév végig a csoportok prezentációkat mutatnak be az órákon . A prezentáció tárgya a projektterv és a kiválasztás (1x20 perc .ppt-s  prezentációval).</w:t>
            </w:r>
          </w:p>
          <w:p w:rsidR="00000000" w:rsidDel="00000000" w:rsidP="00000000" w:rsidRDefault="00000000" w:rsidRPr="00000000" w14:paraId="00000378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 félévi csoportmunka értékelése:</w:t>
            </w:r>
          </w:p>
          <w:p w:rsidR="00000000" w:rsidDel="00000000" w:rsidP="00000000" w:rsidRDefault="00000000" w:rsidRPr="00000000" w14:paraId="00000379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 négy részfeladatot az oktató értékeli (időben történő beérkezés, a kért feladatmegoldás minősége, ötlet egyedisége, hálóterv megvalósíthatósága). Ez 4 osztályzatot eredményez (F1, F2, F3, F4).</w:t>
            </w:r>
          </w:p>
          <w:p w:rsidR="00000000" w:rsidDel="00000000" w:rsidP="00000000" w:rsidRDefault="00000000" w:rsidRPr="00000000" w14:paraId="0000037A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 prezentációkat a többi csoport értékeli 1-5 ig; ezekből is számtani átlagot számolunk (F5).</w:t>
            </w:r>
          </w:p>
          <w:p w:rsidR="00000000" w:rsidDel="00000000" w:rsidP="00000000" w:rsidRDefault="00000000" w:rsidRPr="00000000" w14:paraId="0000037B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 végleges csoport-osztályzat F1…F5 számtani átlaga. Az osztályzatot a csoport létszámával felszorozzuk. Ezt a számot lehet a csoportnak saját hatáskörben (!) szétosztani évközi jegyként. (pl. 4 fős csoport 14 pontot feloszthat többféleképpen:</w:t>
            </w:r>
          </w:p>
          <w:p w:rsidR="00000000" w:rsidDel="00000000" w:rsidP="00000000" w:rsidRDefault="00000000" w:rsidRPr="00000000" w14:paraId="0000037C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•</w:t>
              <w:tab/>
              <w:t xml:space="preserve">1 db. jeles és 3 db. közepes vagy</w:t>
            </w:r>
          </w:p>
          <w:p w:rsidR="00000000" w:rsidDel="00000000" w:rsidP="00000000" w:rsidRDefault="00000000" w:rsidRPr="00000000" w14:paraId="0000037D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•</w:t>
              <w:tab/>
              <w:t xml:space="preserve">2 db. jó és 2db. közepes vagy</w:t>
            </w:r>
          </w:p>
          <w:p w:rsidR="00000000" w:rsidDel="00000000" w:rsidP="00000000" w:rsidRDefault="00000000" w:rsidRPr="00000000" w14:paraId="0000037E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•</w:t>
              <w:tab/>
              <w:t xml:space="preserve">2 db. jeles és 2db. elégséges vagy</w:t>
            </w:r>
          </w:p>
          <w:p w:rsidR="00000000" w:rsidDel="00000000" w:rsidP="00000000" w:rsidRDefault="00000000" w:rsidRPr="00000000" w14:paraId="0000037F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•</w:t>
              <w:tab/>
              <w:t xml:space="preserve">1 db. jeles és 2 db. jó és 1db. elégtelen vagy</w:t>
            </w:r>
          </w:p>
          <w:p w:rsidR="00000000" w:rsidDel="00000000" w:rsidP="00000000" w:rsidRDefault="00000000" w:rsidRPr="00000000" w14:paraId="00000380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•</w:t>
              <w:tab/>
              <w:t xml:space="preserve">….)</w:t>
            </w:r>
          </w:p>
          <w:p w:rsidR="00000000" w:rsidDel="00000000" w:rsidP="00000000" w:rsidRDefault="00000000" w:rsidRPr="00000000" w14:paraId="00000381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Az oktatónak a jegyek végleges megállapításánál (a megfigyelt teljesítmény és a leadott záródokumentum alapján) +/- 1 jegy javítási vagy rontási lehetősége van hallgatónként. Ha a csoport a félévközi teljesítménye bármely részfeladatban nem elfogadható (0 v. 1 pontos), akkor a csoporttagok nem kapnak aláírást! Az aláírást a vizsgaidőszak első 10 napjáig – aláíráspótló vizsga jelleggel - még pótolni lehet. A sikertelen pótlás az aláírás végleges megtagadását vonja maga után.</w:t>
            </w:r>
          </w:p>
          <w:p w:rsidR="00000000" w:rsidDel="00000000" w:rsidP="00000000" w:rsidRDefault="00000000" w:rsidRPr="00000000" w14:paraId="00000382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Az évközi jegy/aláírás szorgalmi időszakon túli pótlásának módja: A csoportos részfeladatok 14. hétig történő leadása és a csoportos prezentáció megtartása a vizsgaidőszak 10 napjában. . </w:t>
            </w:r>
          </w:p>
          <w:p w:rsidR="00000000" w:rsidDel="00000000" w:rsidP="00000000" w:rsidRDefault="00000000" w:rsidRPr="00000000" w14:paraId="00000383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Hiányzás szabályozása:</w:t>
            </w:r>
          </w:p>
          <w:p w:rsidR="00000000" w:rsidDel="00000000" w:rsidP="00000000" w:rsidRDefault="00000000" w:rsidRPr="00000000" w14:paraId="00000384">
            <w:pPr>
              <w:ind w:left="351" w:hanging="283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HKR 46. § </w:t>
            </w:r>
          </w:p>
          <w:p w:rsidR="00000000" w:rsidDel="00000000" w:rsidP="00000000" w:rsidRDefault="00000000" w:rsidRPr="00000000" w14:paraId="00000385">
            <w:pPr>
              <w:ind w:left="351" w:hanging="283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(3) Amennyiben a hallgató hiányzásai valamely kötelezően látogatandó tárgyból meghaladják a tárgy félévi óraszámának 30%-át, a hallgató aláírást, illetve évközi jegyet nem kaphat.</w:t>
            </w:r>
          </w:p>
          <w:p w:rsidR="00000000" w:rsidDel="00000000" w:rsidP="00000000" w:rsidRDefault="00000000" w:rsidRPr="00000000" w14:paraId="00000386">
            <w:pPr>
              <w:ind w:left="351" w:hanging="283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(2) A jelenlét ellenőrzésének formáját és a hiányzások igazolásának módját a Tanulmányi Ügyrend tartalmazza.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gridSpan w:val="28"/>
            <w:tcBorders>
              <w:top w:color="000000" w:space="0" w:sz="4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3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 szabályzatokban nem szabályozott foglalkozásokon való egyéb részvételi követelmények, és megkötések a pótlásokra vonatkozóan:</w:t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gridSpan w:val="2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Félévközi követelmények (HKr  45. §,  46. §)</w:t>
            </w:r>
          </w:p>
          <w:p w:rsidR="00000000" w:rsidDel="00000000" w:rsidP="00000000" w:rsidRDefault="00000000" w:rsidRPr="00000000" w14:paraId="000003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Foglalkozásokon való részvétel előírásai: Az előadások és gyakorlatok látogatása kötelező! </w:t>
            </w:r>
          </w:p>
          <w:p w:rsidR="00000000" w:rsidDel="00000000" w:rsidP="00000000" w:rsidRDefault="00000000" w:rsidRPr="00000000" w14:paraId="000003C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Aláírás megszerzésének feltétele: Az aláírás megadásának egyik feltétele, hogy a hiányzások ne lépjék túl a HKr-ben megadott mértéket. Amennyiben a hallgató túllépi a HKr-ben megadott értéket, letiltásra kerül. Az aláírás megadásának további feltétele: Minden csoportos részfeladatot a választott csoportvezetőnek fel kell tölteni az egyetemi Moodle rendszerbe. A csoportos részfeladatok 1-5-ig osztályozásra / pontozásra kerülnek. A záró csoportos prezentációt a 13. vagy 14. héten meg kell tartani a csoportoknak. </w:t>
            </w:r>
          </w:p>
          <w:p w:rsidR="00000000" w:rsidDel="00000000" w:rsidP="00000000" w:rsidRDefault="00000000" w:rsidRPr="00000000" w14:paraId="000003C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 pótlás módja (HKr  45. §,  46. §)</w:t>
            </w:r>
          </w:p>
          <w:p w:rsidR="00000000" w:rsidDel="00000000" w:rsidP="00000000" w:rsidRDefault="00000000" w:rsidRPr="00000000" w14:paraId="000003C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Aláírás pótlása szorgalmi időszakban: </w:t>
            </w:r>
          </w:p>
          <w:p w:rsidR="00000000" w:rsidDel="00000000" w:rsidP="00000000" w:rsidRDefault="00000000" w:rsidRPr="00000000" w14:paraId="000003C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 félév során az elmaradó (késve beadott) részfeladatok a a 13. hétig pótolhatók. A késés az értekelés során adott pontszámban / osztályzatban figyelembevételre kerül.  </w:t>
            </w:r>
          </w:p>
          <w:p w:rsidR="00000000" w:rsidDel="00000000" w:rsidP="00000000" w:rsidRDefault="00000000" w:rsidRPr="00000000" w14:paraId="000003C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Aláírás pótlása vizsgaidőszakban: A megtagadott aláírást a vizsgaidőszak első 10 munkanapja során egy alkalommal lehet pótolni az évközi pótlás feltételeinek megfelelően. </w:t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3E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Zárthelyi dolgozat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3E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Beadandó csoportos feladat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3F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Labormérés</w:t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3F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elérhető max pontszám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40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minimum pontszám a teljesítéshez/zh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4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elérhető max pontszám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4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minimum pontszám a teljesítéshez/ feladat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4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elérhető max pontszám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4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minimum pontszám a teljesítéshez/mérés</w:t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…pont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…pont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5x5pont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2-pont/feladat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…pont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…pont</w:t>
            </w:r>
          </w:p>
        </w:tc>
      </w:tr>
    </w:tbl>
    <w:p w:rsidR="00000000" w:rsidDel="00000000" w:rsidP="00000000" w:rsidRDefault="00000000" w:rsidRPr="00000000" w14:paraId="0000043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4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831"/>
        <w:gridCol w:w="221"/>
        <w:gridCol w:w="133"/>
        <w:gridCol w:w="289"/>
        <w:gridCol w:w="1200"/>
        <w:gridCol w:w="79"/>
        <w:gridCol w:w="1134"/>
        <w:gridCol w:w="630"/>
        <w:gridCol w:w="1843"/>
        <w:gridCol w:w="1924"/>
        <w:tblGridChange w:id="0">
          <w:tblGrid>
            <w:gridCol w:w="1831"/>
            <w:gridCol w:w="221"/>
            <w:gridCol w:w="133"/>
            <w:gridCol w:w="289"/>
            <w:gridCol w:w="1200"/>
            <w:gridCol w:w="79"/>
            <w:gridCol w:w="1134"/>
            <w:gridCol w:w="630"/>
            <w:gridCol w:w="1843"/>
            <w:gridCol w:w="1924"/>
          </w:tblGrid>
        </w:tblGridChange>
      </w:tblGrid>
      <w:tr>
        <w:trPr>
          <w:cantSplit w:val="1"/>
          <w:trHeight w:val="277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 szemeszterben megszerezhető összes pontszám: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25pont</w:t>
            </w:r>
          </w:p>
        </w:tc>
      </w:tr>
      <w:tr>
        <w:trPr>
          <w:cantSplit w:val="1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4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Ponthatárok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4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elégséges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12,5 ponttól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közepes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 ponttól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 ponttól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jeles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 ponttól</w:t>
            </w:r>
          </w:p>
        </w:tc>
      </w:tr>
      <w:tr>
        <w:trPr>
          <w:cantSplit w:val="1"/>
          <w:trHeight w:val="135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Egyéb értékelési szempontok:</w:t>
            </w:r>
          </w:p>
        </w:tc>
      </w:tr>
      <w:tr>
        <w:trPr>
          <w:cantSplit w:val="1"/>
          <w:trHeight w:val="135" w:hRule="atLeast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Letiltva bejegyzést kap: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Aki(k) nem éri(k) el a minimális 5x2=10 pontot, ill. a megengedettnél többet hiányzik. 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Kötelező irodalom: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Jarjabka Ákos és társai: Projektmenedzsment ismeretek. Pécsi Tudományegyetem, Közgazdaságtudományi Kar, Vezetés- és Szervezéstudományi Intézet, Pécs, 2020 (ISBN: 978-963-429-572-3; 3. átdolgozott kiadás)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Ajánlott irodalom: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Projektmenedzsment útmutató (PMBOK® Guide) 5. kiadás, Akadémiai Kiadó, 2013. </w:t>
            </w:r>
          </w:p>
          <w:p w:rsidR="00000000" w:rsidDel="00000000" w:rsidP="00000000" w:rsidRDefault="00000000" w:rsidRPr="00000000" w14:paraId="000004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https://www.ganttproject.biz/download (Ganttproject 2.8.5 Pilsen (build 2179)) </w:t>
            </w:r>
          </w:p>
          <w:p w:rsidR="00000000" w:rsidDel="00000000" w:rsidP="00000000" w:rsidRDefault="00000000" w:rsidRPr="00000000" w14:paraId="000004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Daróczi Miklós: Projektmenedzsment, 2011. https://www.tankonyvtar.hu/hu/tartalom/tamop412A/2010-0019_Projektmenedzsment/index.ht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8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8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Kelt: Budapest, 2023. 06. 15. </w:t>
      </w:r>
    </w:p>
    <w:p w:rsidR="00000000" w:rsidDel="00000000" w:rsidP="00000000" w:rsidRDefault="00000000" w:rsidRPr="00000000" w14:paraId="0000049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Dr. Michelberger Pál</w:t>
      </w:r>
    </w:p>
    <w:p w:rsidR="00000000" w:rsidDel="00000000" w:rsidP="00000000" w:rsidRDefault="00000000" w:rsidRPr="00000000" w14:paraId="0000049F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i w:val="1"/>
    </w:rPr>
  </w:style>
  <w:style w:type="paragraph" w:styleId="Heading2">
    <w:name w:val="heading 2"/>
    <w:basedOn w:val="Normal"/>
    <w:next w:val="Normal"/>
    <w:pPr>
      <w:keepNext w:val="1"/>
    </w:pPr>
    <w:rPr>
      <w:i w:val="1"/>
    </w:rPr>
  </w:style>
  <w:style w:type="paragraph" w:styleId="Heading3">
    <w:name w:val="heading 3"/>
    <w:basedOn w:val="Normal"/>
    <w:next w:val="Normal"/>
    <w:pPr>
      <w:keepNext w:val="1"/>
      <w:jc w:val="right"/>
    </w:pPr>
    <w:rPr>
      <w:i w:val="1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 w:val="1"/>
    <w:rsid w:val="00C3685B"/>
    <w:pPr>
      <w:keepNext w:val="1"/>
      <w:jc w:val="center"/>
      <w:outlineLvl w:val="0"/>
    </w:pPr>
    <w:rPr>
      <w:i w:val="1"/>
      <w:iCs w:val="1"/>
    </w:rPr>
  </w:style>
  <w:style w:type="paragraph" w:styleId="Cmsor2">
    <w:name w:val="heading 2"/>
    <w:basedOn w:val="Norml"/>
    <w:next w:val="Norml"/>
    <w:qFormat w:val="1"/>
    <w:rsid w:val="00C3685B"/>
    <w:pPr>
      <w:keepNext w:val="1"/>
      <w:outlineLvl w:val="1"/>
    </w:pPr>
    <w:rPr>
      <w:i w:val="1"/>
      <w:iCs w:val="1"/>
    </w:rPr>
  </w:style>
  <w:style w:type="paragraph" w:styleId="Cmsor3">
    <w:name w:val="heading 3"/>
    <w:basedOn w:val="Norml"/>
    <w:next w:val="Norml"/>
    <w:qFormat w:val="1"/>
    <w:rsid w:val="00C3685B"/>
    <w:pPr>
      <w:keepNext w:val="1"/>
      <w:jc w:val="right"/>
      <w:outlineLvl w:val="2"/>
    </w:pPr>
    <w:rPr>
      <w:i w:val="1"/>
      <w:iCs w:val="1"/>
    </w:rPr>
  </w:style>
  <w:style w:type="paragraph" w:styleId="Cmsor4">
    <w:name w:val="heading 4"/>
    <w:basedOn w:val="Norml"/>
    <w:next w:val="Norml"/>
    <w:qFormat w:val="1"/>
    <w:rsid w:val="00C3685B"/>
    <w:pPr>
      <w:keepNext w:val="1"/>
      <w:outlineLvl w:val="3"/>
    </w:pPr>
    <w:rPr>
      <w:b w:val="1"/>
      <w:bCs w:val="1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 w:val="1"/>
      <w:autoSpaceDN w:val="1"/>
    </w:pPr>
    <w:rPr>
      <w:sz w:val="24"/>
      <w:szCs w:val="24"/>
    </w:rPr>
  </w:style>
  <w:style w:type="character" w:styleId="lfejChar1" w:customStyle="1">
    <w:name w:val="Élőfej Char1"/>
    <w:aliases w:val="Élőfej Char Char"/>
    <w:link w:val="lfej"/>
    <w:rsid w:val="00EE6578"/>
    <w:rPr>
      <w:sz w:val="24"/>
      <w:szCs w:val="24"/>
      <w:lang w:eastAsia="hu-HU" w:val="hu-HU"/>
    </w:rPr>
  </w:style>
  <w:style w:type="paragraph" w:styleId="Buborkszveg">
    <w:name w:val="Balloon Text"/>
    <w:basedOn w:val="Norml"/>
    <w:semiHidden w:val="1"/>
    <w:rsid w:val="005868E3"/>
    <w:rPr>
      <w:rFonts w:ascii="Tahoma" w:cs="Tahoma" w:hAnsi="Tahoma"/>
      <w:sz w:val="16"/>
      <w:szCs w:val="16"/>
    </w:rPr>
  </w:style>
  <w:style w:type="character" w:styleId="Hiperhivatkozs">
    <w:name w:val="Hyperlink"/>
    <w:basedOn w:val="Bekezdsalapbettpusa"/>
    <w:unhideWhenUsed w:val="1"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 w:val="1"/>
    <w:rsid w:val="00D57F03"/>
    <w:rPr>
      <w:color w:val="808080"/>
    </w:rPr>
  </w:style>
  <w:style w:type="paragraph" w:styleId="Nincstrkz">
    <w:name w:val="No Spacing"/>
    <w:uiPriority w:val="1"/>
    <w:qFormat w:val="1"/>
    <w:rsid w:val="006A764E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+V8gcFfVqvIAK7fxS+cSt1lv6w==">CgMxLjAyCGguZ2pkZ3hzOAByITFudjBkbkhXM3JGb3U1dWd6b202Nm1Ydi1JTVdjT2E2UA==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2023-06-15T10:07:00Z</dcterms:created>
  <dc:creator>KGK-VMI-256-21</dc:creator>
</cp:coreProperties>
</file>