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6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772"/>
        <w:gridCol w:w="142"/>
        <w:gridCol w:w="496"/>
        <w:gridCol w:w="781"/>
        <w:gridCol w:w="119"/>
        <w:gridCol w:w="1158"/>
        <w:gridCol w:w="140"/>
        <w:gridCol w:w="568"/>
        <w:gridCol w:w="285"/>
        <w:gridCol w:w="1843"/>
        <w:gridCol w:w="1912"/>
        <w:tblGridChange w:id="0">
          <w:tblGrid>
            <w:gridCol w:w="1772"/>
            <w:gridCol w:w="142"/>
            <w:gridCol w:w="496"/>
            <w:gridCol w:w="781"/>
            <w:gridCol w:w="119"/>
            <w:gridCol w:w="1158"/>
            <w:gridCol w:w="140"/>
            <w:gridCol w:w="568"/>
            <w:gridCol w:w="285"/>
            <w:gridCol w:w="1843"/>
            <w:gridCol w:w="1912"/>
          </w:tblGrid>
        </w:tblGridChange>
      </w:tblGrid>
      <w:tr>
        <w:trPr>
          <w:cantSplit w:val="1"/>
          <w:trHeight w:val="44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Óbudai Egyetem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Bánki Donát Gépész- és Biztonságtechnikai Mérnöki 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Biztonságtudományi és Kibervédelmi Intézet</w:t>
            </w:r>
          </w:p>
        </w:tc>
      </w:tr>
      <w:tr>
        <w:trPr>
          <w:cantSplit w:val="1"/>
          <w:trHeight w:val="508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7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Tantárgy címe és kódja:  Információbiztonság IT-gyakorlata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BBXIG16BNE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Kreditérték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Levelező tagozat</w:t>
              <w:tab/>
              <w:t xml:space="preserve"> 2. tanév 2 . félév </w:t>
            </w:r>
          </w:p>
        </w:tc>
      </w:tr>
      <w:tr>
        <w:trPr>
          <w:cantSplit w:val="1"/>
          <w:trHeight w:val="25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Szakok melyeken a tárgyat oktatják: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Biztonságtechnikai mérnök szak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1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Tantárgyfelelős oktató: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Kollár Csaba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Oktatók: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Rajnai Zoltán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29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Előtanulmányi feltételek (kóddal)</w:t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Informatika I. BBXIA11BLE</w:t>
            </w:r>
          </w:p>
        </w:tc>
      </w:tr>
      <w:tr>
        <w:trPr>
          <w:cantSplit w:val="1"/>
          <w:trHeight w:val="29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Heti óraszámok: 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Előadás: 1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Tantermi gyak.:  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Laborgyakorlat: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Konzultáció: 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Félévzárás módja: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(követelmény)</w:t>
            </w:r>
          </w:p>
        </w:tc>
        <w:tc>
          <w:tcPr>
            <w:gridSpan w:val="10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Vizsga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4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tananyag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3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536"/>
                <w:tab w:val="right" w:leader="none" w:pos="9072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Oktatási cél: A hallgatók ismerjék meg azokat az információbiztonság IT-gyakorlatát. A tantárgy mélyrehatóan foglalkozik az információbiztonság kulcsfontosságú területeivel. A kurzus során hallgatóink megismerik a social engineering, OSINT, GDPR, valamint információbiztonsági rendeletek és szabványok kihívásait. Gyakorlati esettanulmányok és szimulációs gyakorlatok segítségével fejlesztjük a hallgatók képességeit az incidenskezelésben és a kockázatmenedzsmentben.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Ütemezés:</w:t>
            </w:r>
          </w:p>
        </w:tc>
      </w:tr>
      <w:tr>
        <w:trPr>
          <w:cantSplit w:val="1"/>
          <w:trHeight w:val="28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Témakör</w:t>
            </w:r>
          </w:p>
        </w:tc>
      </w:tr>
      <w:tr>
        <w:trPr>
          <w:cantSplit w:val="1"/>
          <w:trHeight w:val="141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Bevezető előadás, a félévi követelmények ismertetése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biztonság alapelvei és szükségessége az informatikai környezetben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Alapfogalmak: támadás, védelem, kockázat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Jogszabályi háttér és felelősségek az információbiztonság területén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engineering alapelvek és technikák 1.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Támadói profilok és motivációk</w:t>
            </w:r>
          </w:p>
        </w:tc>
      </w:tr>
      <w:tr>
        <w:trPr>
          <w:cantSplit w:val="1"/>
          <w:trHeight w:val="122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engineering alapelvek és technikák 2.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Ellenintézkedések és prevenció a social engineering ellen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OSINT alapelvek és gyakorlati alkalmazások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Nyilvános források és azok kihasználása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Adatgyűjtés és elemzés a védelmi szempontból</w:t>
            </w:r>
          </w:p>
        </w:tc>
      </w:tr>
      <w:tr>
        <w:trPr>
          <w:cantSplit w:val="1"/>
          <w:trHeight w:val="2392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Beszámoló a féléves komplex feladat haladásából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emberi tényező szerepe az információbiztonságban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Felhasználói oktatás és tudatosság fejlesztés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Humán erőforrás ellenőrzési mechanizmusok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Mutatószámok és teljesítménymérők az információbiztonság területén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GDPR alapelvek és követelmények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GDPR-ba való illeszkedés és az adatvédelem fontossága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Nemzetközi és iparági információbiztonsági szabványok áttekintése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Rendeletek és irányelvek értelmezése és betartása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Biztonsági auditok és azok folyamatai</w:t>
            </w:r>
          </w:p>
        </w:tc>
      </w:tr>
      <w:tr>
        <w:trPr>
          <w:cantSplit w:val="1"/>
          <w:trHeight w:val="1566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Kockázatok az informatikai környezetben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Kockázatértékelés és kockázatkezelési stratégiák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Kockázatmenedzsment eszközök és módszerek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Szimulációs gyakorlat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Konzultáció a féléves komplex feladat beadása előtt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kiscsoportok komplex feladatainak prezentálása, A félév értékelése, zárása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Félévközi követelmények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(feladat, zh. dolgozat, esszé, stb)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Oktatási hét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(konzultáció)</w:t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3. alkalommal a féléves komplex feladat haladásából beszámoló.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4. alkalommal a komplex feladat bemutatása.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hallgató előadás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db. kiscsoportos komplex feladat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aktív részvétel a szimulációs gyakorlaton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értékelés, a lebonyolítás, a pótlás módja, a jegy kialakításának szempontjai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foglalkozásokon való részvételt a TVSZ III.23.§ (1)-(4) pontja szabályozza.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megszerzésének feltétele az évközi feladatok legalább elégséges szintre való teljesítése.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aláírás szorgalmi időszakon túli pótlásának módjáról a Tanulmányi Ügyrend III.6.1.(3)/III.6.2.(3) pontja rendelkezik.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Valamennyi, jelen dokumentumban nem szabályozott, kérdésben az Óbudai Egyetem Tanulmányi és Vizsgaszabályzata valamint Tanulmányi Ügyrendjének rendelkezései az irányadók.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előadásokon a megjelenés kötelező. Aki az előadások több, mint 30%-án hiányzott, aláírást nem kap és nem is pótolhatja.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félévzárás módja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(vizsga módja: írásbeli, szóbeli, teszt, stb.)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 elején kiadott kiscsoportos, komplex feladat időben történő elkészítése és beadása.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aláírás feltétele a kiscsoportos hallgatói előadás, illetve a komplex feladatból készített prezentáció.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félévi jegy 25%-ban a kiselőadásból, 25%-ban a komplex feladat prezentációjából, 50%-ban pedig a komplex feladat írásos változatának értékeléséből tevődik össze. </w:t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Kötelező irodalom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Az oktató által készített, a hallgatók rendelkezésére bocsátott elektronikus jegyzet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Csaba: Az információbiztonság humán aspektusai: A biztonságtudatossági ellenőrzés során alkalmazott social engineering technikák elemzése a SPEAKING modell segítségével. BELÜGYI SZEMLE: A BELÜGYMINISZTÉRIUM SZAKMAI TUDOMÁNYOS FOLYÓIRATA (2010-)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https://ojs.mtak.hu/index.php/belugyiszemle/article/view/4333/3343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 ; Zakar, Ákos: A social engineering és a manipulációs technikák és módszerek - kutatási jelentés. BIZTONSÁGTUDOMÁNYI SZEMLE 2 : 3 pp. 31-46. , 16 p. (2020)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https://biztonsagtudomanyi.szemle.uni-obuda.hu/index.php/home/article/view/70/62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Kollár, Csaba ; Zakar, Ákos: A social engineering és a manipulációs technikák és módszerek. BIZTONSÁGTUDOMÁNYI SZEMLE 2 : 2 pp. 23-38. , 16 p. (2020)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https://biztonsagtudomanyi.szemle.uni-obuda.hu/index.php/home/article/view/58/50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David J. Wetherall Andrew S. Tanenbaum: Számítógép-hálózatok. Panem Kft. 2013.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Jim Geier: Vezeték nélküli hálózatok. Panem Kft. 2005.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Hétpecsét Egyesület kiadványai (Hétpecsétes történetek) itt találhatók:</w:t>
              <w:br w:type="textWrapping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563c1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https://hetpecset.hu/site/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Egyéb segédletek: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7" w:hRule="atLeast"/>
          <w:tblHeader w:val="0"/>
        </w:trPr>
        <w:tc>
          <w:tcPr>
            <w:gridSpan w:val="11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tárgy minőségbiztosítási módszerei: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</w:t>
        <w:tab/>
        <w:t xml:space="preserve">……………………………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1701"/>
          <w:tab w:val="center" w:leader="none" w:pos="680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tantárgyfelelős</w:t>
        <w:tab/>
        <w:t xml:space="preserve">dékán</w:t>
      </w:r>
    </w:p>
    <w:sectPr>
      <w:pgSz w:h="16838" w:w="11906" w:orient="portrait"/>
      <w:pgMar w:bottom="1134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1">
    <w:name w:val="Címsor 1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2">
    <w:name w:val="Címsor 2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1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3">
    <w:name w:val="Címsor 3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right"/>
      <w:textDirection w:val="btLr"/>
      <w:textAlignment w:val="top"/>
      <w:outlineLvl w:val="2"/>
    </w:pPr>
    <w:rPr>
      <w:i w:val="1"/>
      <w:i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4">
    <w:name w:val="Címsor 4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hu-HU" w:val="hu-HU"/>
    </w:rPr>
  </w:style>
  <w:style w:type="paragraph" w:styleId="Címsor5">
    <w:name w:val="Címsor 5"/>
    <w:basedOn w:val="Normál"/>
    <w:next w:val="Normál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hu-HU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Élőfej,ÉlőfejChar">
    <w:name w:val="Élőfej,Élőfej Char"/>
    <w:basedOn w:val="Normál"/>
    <w:next w:val="Élőfej,ÉlőfejCha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autoSpaceDE w:val="1"/>
      <w:autoSpaceDN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hu-HU"/>
    </w:rPr>
  </w:style>
  <w:style w:type="character" w:styleId="ÉlőfejChar1,ÉlőfejCharChar">
    <w:name w:val="Élőfej Char1,Élőfej Char Char"/>
    <w:next w:val="ÉlőfejChar1,ÉlőfejCha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hu-HU" w:val="hu-HU"/>
    </w:rPr>
  </w:style>
  <w:style w:type="paragraph" w:styleId="Buborékszöveg">
    <w:name w:val="Buborékszöveg"/>
    <w:basedOn w:val="Normál"/>
    <w:next w:val="Buborékszöveg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hu-HU" w:val="hu-HU"/>
    </w:rPr>
  </w:style>
  <w:style w:type="paragraph" w:styleId="Normálbehúzás">
    <w:name w:val="Normál behúzás"/>
    <w:basedOn w:val="Normál"/>
    <w:next w:val="Normálbehúzás"/>
    <w:autoRedefine w:val="0"/>
    <w:hidden w:val="0"/>
    <w:qFormat w:val="0"/>
    <w:pPr>
      <w:suppressAutoHyphens w:val="1"/>
      <w:autoSpaceDE w:val="0"/>
      <w:autoSpaceDN w:val="0"/>
      <w:spacing w:line="1" w:lineRule="atLeast"/>
      <w:ind w:left="567" w:leftChars="-1" w:rightChars="0" w:firstLine="238" w:firstLineChars="-1"/>
      <w:textDirection w:val="btLr"/>
      <w:textAlignment w:val="top"/>
      <w:outlineLvl w:val="0"/>
    </w:pPr>
    <w:rPr>
      <w:rFonts w:ascii="Garamond" w:cs="Garamond" w:eastAsia="MS Mincho" w:hAnsi="Garamond"/>
      <w:w w:val="100"/>
      <w:position w:val="-1"/>
      <w:sz w:val="24"/>
      <w:szCs w:val="24"/>
      <w:effect w:val="none"/>
      <w:vertAlign w:val="baseline"/>
      <w:cs w:val="0"/>
      <w:em w:val="none"/>
      <w:lang w:bidi="ar-SA" w:eastAsia="hu-HU" w:val="en-GB"/>
    </w:rPr>
  </w:style>
  <w:style w:type="character" w:styleId="Hiperhivatkozás">
    <w:name w:val="Hiperhivatkozás"/>
    <w:next w:val="Hiperhivatkozás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eloldatlanmegemlítés">
    <w:name w:val="Feloldatlan megemlítés"/>
    <w:next w:val="Feloldatlanmegemlítés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js.mtak.hu/index.php/belugyiszemle/article/view/4333/3343" TargetMode="External"/><Relationship Id="rId8" Type="http://schemas.openxmlformats.org/officeDocument/2006/relationships/hyperlink" Target="https://hetpecset.h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CnQPLYLhtb4q5bCFcM46y7f4GQ==">CgMxLjA4AHIhMW8zOWExSldicjNuOG1LZWhxUjVMYnZBc3BxMVZlVFc3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2023-02-22T15:30:00Z</dcterms:created>
  <dc:creator>KGK-VMI-256-21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