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873"/>
        <w:gridCol w:w="1134"/>
        <w:gridCol w:w="1701"/>
        <w:gridCol w:w="567"/>
        <w:gridCol w:w="2832"/>
        <w:gridCol w:w="570"/>
      </w:tblGrid>
      <w:tr w:rsidR="00BC2B16" w:rsidRPr="00BC2B16" w14:paraId="1D47118C" w14:textId="77777777" w:rsidTr="00EE1383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6DD9CDBE" w14:textId="77777777" w:rsidR="00BC2B16" w:rsidRPr="00BC2B16" w:rsidRDefault="00BC2B16" w:rsidP="00BC2B16">
            <w:pPr>
              <w:rPr>
                <w:rFonts w:ascii="Arial" w:eastAsia="Calibri" w:hAnsi="Arial" w:cs="Calibri"/>
                <w:sz w:val="20"/>
                <w:szCs w:val="20"/>
              </w:rPr>
            </w:pPr>
            <w:bookmarkStart w:id="0" w:name="_Hallgatói_munkaszerződés"/>
            <w:bookmarkEnd w:id="0"/>
            <w:r w:rsidRPr="00BC2B16">
              <w:rPr>
                <w:rFonts w:ascii="Arial" w:eastAsia="Calibri" w:hAnsi="Arial" w:cs="Calibri"/>
                <w:noProof/>
                <w:sz w:val="24"/>
                <w:lang w:eastAsia="hu-HU"/>
              </w:rPr>
              <w:drawing>
                <wp:inline distT="0" distB="0" distL="0" distR="0" wp14:anchorId="3BD2A95D" wp14:editId="7D2714E6">
                  <wp:extent cx="637200" cy="360000"/>
                  <wp:effectExtent l="0" t="0" r="0" b="2540"/>
                  <wp:docPr id="951904176" name="Kép 951904176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57B6DCF2" w14:textId="5A890095" w:rsidR="00BC2B16" w:rsidRPr="00BC2B16" w:rsidRDefault="00BC2B16" w:rsidP="00BC2B16">
            <w:pPr>
              <w:tabs>
                <w:tab w:val="right" w:pos="7559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2B16">
              <w:rPr>
                <w:rFonts w:ascii="Arial" w:eastAsia="Calibri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eastAsia="Calibri" w:hAnsi="Arial" w:cs="Arial"/>
                  <w:sz w:val="16"/>
                  <w:szCs w:val="16"/>
                </w:rPr>
                <w:alias w:val="Kar neve"/>
                <w:tag w:val="Kar neve"/>
                <w:id w:val="-1792656762"/>
                <w:placeholder>
                  <w:docPart w:val="116D078AF0D84413A4C51F5FF2B94F48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Fonts w:ascii="Arial" w:eastAsia="Calibri" w:hAnsi="Arial"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BC2B16" w:rsidRPr="00BC2B16" w14:paraId="5542C975" w14:textId="77777777" w:rsidTr="00EE1383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A78F556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b/>
                <w:bCs/>
                <w:caps/>
                <w:spacing w:val="20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caps/>
                <w:spacing w:val="20"/>
                <w:sz w:val="20"/>
                <w:szCs w:val="20"/>
              </w:rPr>
              <w:t>Együttműködési megállapodás</w:t>
            </w:r>
          </w:p>
          <w:p w14:paraId="1D68B70A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18"/>
                <w:szCs w:val="18"/>
              </w:rPr>
              <w:t>szakmai gyakorlati képzési feladatok ellátására</w:t>
            </w:r>
          </w:p>
        </w:tc>
      </w:tr>
      <w:tr w:rsidR="00BC2B16" w:rsidRPr="00BC2B16" w14:paraId="6F69535E" w14:textId="77777777" w:rsidTr="00EE1383">
        <w:trPr>
          <w:trHeight w:val="3402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E376AA3" w14:textId="77777777" w:rsidR="00BC2B16" w:rsidRPr="00BC2B16" w:rsidRDefault="00BC2B16" w:rsidP="00BC2B16">
            <w:pPr>
              <w:spacing w:after="60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Mely létrejött egyrészről</w:t>
            </w:r>
          </w:p>
          <w:p w14:paraId="2F02E6F4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az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Óbudai Egyetem</w:t>
            </w:r>
          </w:p>
          <w:p w14:paraId="1D62DC4F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székhelye: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1034 Budapest, Bécsi út 96/b</w:t>
            </w:r>
          </w:p>
          <w:p w14:paraId="74AA88FB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intézményi azonosítója: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FI12904</w:t>
            </w:r>
          </w:p>
          <w:p w14:paraId="4D55ED8F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adószáma: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19308760-2-41</w:t>
            </w:r>
          </w:p>
          <w:p w14:paraId="748761D6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számlavezető pénzintézete: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MBH Bank Nyrt.</w:t>
            </w:r>
          </w:p>
          <w:p w14:paraId="08C1353F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számlaszáma: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10300002-13268139-00014901</w:t>
            </w:r>
          </w:p>
          <w:p w14:paraId="772477F1" w14:textId="30F41047" w:rsidR="00BC2B16" w:rsidRPr="00BC2B16" w:rsidRDefault="00BC2B16" w:rsidP="00BC2B16">
            <w:pPr>
              <w:tabs>
                <w:tab w:val="left" w:pos="567"/>
              </w:tabs>
              <w:spacing w:before="60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sdt>
              <w:sdtPr>
                <w:rPr>
                  <w:rFonts w:ascii="Arial" w:eastAsia="Calibri" w:hAnsi="Arial" w:cs="Arial"/>
                  <w:b/>
                  <w:bCs/>
                  <w:sz w:val="20"/>
                  <w:szCs w:val="20"/>
                </w:rPr>
                <w:alias w:val="Kar neve"/>
                <w:tag w:val="Kar neve"/>
                <w:id w:val="-939835081"/>
                <w:placeholder>
                  <w:docPart w:val="03BB1D40B019419EB3D63408B4097687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Fonts w:ascii="Arial" w:eastAsia="Calibri" w:hAnsi="Arial" w:cs="Arial"/>
                    <w:b/>
                    <w:bCs/>
                    <w:sz w:val="20"/>
                    <w:szCs w:val="20"/>
                  </w:rPr>
                  <w:t>Bánki Donát Gépész és Biztonságtechnikai Mérnöki Kar</w:t>
                </w:r>
              </w:sdtContent>
            </w:sdt>
          </w:p>
          <w:p w14:paraId="4D1A5262" w14:textId="7EFF6DC5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címe: </w:t>
            </w:r>
            <w:sdt>
              <w:sdtPr>
                <w:rPr>
                  <w:rFonts w:ascii="Arial" w:eastAsia="Calibri" w:hAnsi="Arial" w:cs="Calibri"/>
                  <w:b/>
                  <w:bCs/>
                  <w:sz w:val="20"/>
                  <w:szCs w:val="20"/>
                </w:rPr>
                <w:alias w:val="Cím"/>
                <w:tag w:val="Cím"/>
                <w:id w:val="-244496084"/>
                <w:placeholder>
                  <w:docPart w:val="CB6C79EBD00A473EBC108624EE4AACE8"/>
                </w:placeholder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EndPr/>
              <w:sdtContent>
                <w:r>
                  <w:rPr>
                    <w:rFonts w:ascii="Arial" w:eastAsia="Calibri" w:hAnsi="Arial" w:cs="Calibri"/>
                    <w:b/>
                    <w:bCs/>
                    <w:sz w:val="20"/>
                    <w:szCs w:val="20"/>
                  </w:rPr>
                  <w:t>1081 Budapest, Népszínház u. 8.</w:t>
                </w:r>
              </w:sdtContent>
            </w:sdt>
          </w:p>
          <w:p w14:paraId="05D760EE" w14:textId="71366021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képviselője: </w:t>
            </w:r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Prof. Dr. Rajnai Zoltán</w:t>
            </w:r>
          </w:p>
          <w:p w14:paraId="32AE5072" w14:textId="65467E00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kapcsolattartója: </w:t>
            </w:r>
            <w:r w:rsidR="007751F3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Dr. Pető Richárd, adjunktus</w:t>
            </w:r>
          </w:p>
          <w:p w14:paraId="6450F1EA" w14:textId="5C90A178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kapcsolattartó elektronikus címe: </w:t>
            </w:r>
            <w:r w:rsidR="007751F3">
              <w:rPr>
                <w:rFonts w:ascii="Arial" w:eastAsia="Calibri" w:hAnsi="Arial" w:cs="Calibri"/>
                <w:sz w:val="20"/>
                <w:szCs w:val="20"/>
              </w:rPr>
              <w:t>peto.richard</w:t>
            </w:r>
            <w:r>
              <w:rPr>
                <w:rFonts w:ascii="Arial" w:eastAsia="Calibri" w:hAnsi="Arial" w:cs="Calibri"/>
                <w:sz w:val="20"/>
                <w:szCs w:val="20"/>
              </w:rPr>
              <w:t>@bgk.uni-obuda.hu</w:t>
            </w:r>
          </w:p>
          <w:p w14:paraId="105D894F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(a továbbiakban: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),</w:t>
            </w:r>
          </w:p>
        </w:tc>
      </w:tr>
      <w:tr w:rsidR="00BC2B16" w:rsidRPr="00BC2B16" w14:paraId="74DFC8B0" w14:textId="77777777" w:rsidTr="00EE1383">
        <w:trPr>
          <w:trHeight w:val="283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6B03BC7" w14:textId="77777777" w:rsidR="00BC2B16" w:rsidRPr="00BC2B16" w:rsidRDefault="00BC2B16" w:rsidP="00BC2B16">
            <w:pPr>
              <w:spacing w:before="120" w:after="60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másrészről</w:t>
            </w:r>
          </w:p>
          <w:p w14:paraId="21F21A3C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a(z)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(cég neve)</w:t>
            </w:r>
          </w:p>
          <w:p w14:paraId="5FE53A93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székhelye: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</w:p>
          <w:p w14:paraId="7804FDE1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cégjegyzékszáma: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</w:p>
          <w:p w14:paraId="728C90D4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adószáma: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</w:p>
          <w:p w14:paraId="159D0B08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számlavezető pénzintézete: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</w:p>
          <w:p w14:paraId="44BCE8AE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számlaszáma: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</w:p>
          <w:p w14:paraId="1E372C96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képviselője: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(név)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(beosztás)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</w:p>
          <w:p w14:paraId="45B63402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kapcsolattartója: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(név)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………………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(beosztás)</w:t>
            </w:r>
          </w:p>
          <w:p w14:paraId="79F60F6F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kapcsolattartó elektronikus címe: ………………</w:t>
            </w:r>
          </w:p>
          <w:p w14:paraId="6FBB05F0" w14:textId="77777777" w:rsidR="00BC2B16" w:rsidRPr="00BC2B16" w:rsidRDefault="00BC2B16" w:rsidP="00BC2B16">
            <w:pPr>
              <w:tabs>
                <w:tab w:val="left" w:pos="567"/>
              </w:tabs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 xml:space="preserve">(a továbbiakban: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), (a továbbiakban együttesen: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) között.</w:t>
            </w:r>
          </w:p>
        </w:tc>
      </w:tr>
      <w:tr w:rsidR="00BC2B16" w:rsidRPr="00BC2B16" w14:paraId="71F4DC12" w14:textId="77777777" w:rsidTr="00EE1383">
        <w:trPr>
          <w:trHeight w:val="567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822F58F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Az együttműködési megállapodás tárgya:</w:t>
            </w:r>
          </w:p>
          <w:p w14:paraId="00333EE7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egyetértően nyilatkoznak arról, hogy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18"/>
                <w:szCs w:val="18"/>
              </w:rPr>
              <w:t xml:space="preserve"> 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és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hallgatóinak szakmai gyakorlata biztosítására egymással együttműködési megállapodást kíván kötni.</w:t>
            </w:r>
          </w:p>
          <w:p w14:paraId="4900D020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a nemzeti felsőoktatásról szóló 2011. évi CCIV. törvény (a továbbiakban: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), a szakképzési hozzájárulásról és a képzés fejlesztésének támogatásáról szóló 2011. évi CLV. törvény (a továbbiakban: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Szhtv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), valamint a felsőoktatási szakképzésről és a felsőoktatási képzéshez kapcsolódó szakmai gyakorlat egyes kérdéseiről szóló 230/2012. (VIII. 28.) Kormányrendelet (a továbbiakban: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Szgyr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)</w:t>
            </w:r>
            <w:r w:rsidRPr="00BC2B16">
              <w:rPr>
                <w:rFonts w:ascii="Arial" w:eastAsia="Calibri" w:hAnsi="Arial" w:cs="Calibri"/>
                <w:sz w:val="24"/>
              </w:rPr>
              <w:t xml:space="preserve"> 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alapján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hallgatói számára gyakorlati képzést szervez.</w:t>
            </w:r>
          </w:p>
          <w:p w14:paraId="3F3D3BE9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Szakmai gyakorlat a képzésnek azon része, amely felsőoktatási szakképzésben, alap-, mester- és osztatlan képzésben a szak 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      </w:r>
          </w:p>
          <w:p w14:paraId="2B302B2B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gyakorlati képzés 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      </w:r>
          </w:p>
        </w:tc>
      </w:tr>
      <w:tr w:rsidR="00BC2B16" w:rsidRPr="00BC2B16" w14:paraId="45621E9E" w14:textId="77777777" w:rsidTr="00EE1383">
        <w:trPr>
          <w:trHeight w:val="198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9AB9B5E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Az együttműködés módja:</w:t>
            </w:r>
          </w:p>
          <w:p w14:paraId="277456AB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……………………………… (szak, képzési szint) képzésen részt vevő hallgatóit, az előzetesen egyeztetett időszakban, bontásban és létszámban fogadja.</w:t>
            </w:r>
          </w:p>
          <w:p w14:paraId="352D98B7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által előzetesen felajánlott hallgatói létszámokat és gyakorlati témákat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képviselői írásban rögzítik.</w:t>
            </w:r>
          </w:p>
          <w:p w14:paraId="31487FF8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besorolás utáni pontos létszámokat, a hallgatók adatait és a választott témákat tartalmazó listát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képviselői szintén írásban rögzítik.</w:t>
            </w:r>
          </w:p>
        </w:tc>
      </w:tr>
      <w:tr w:rsidR="00BC2B16" w:rsidRPr="00BC2B16" w14:paraId="3C68EFC3" w14:textId="77777777" w:rsidTr="00EE1383">
        <w:trPr>
          <w:trHeight w:val="155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03D5ED9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lastRenderedPageBreak/>
              <w:t>A szakmai gyakorlat célja:</w:t>
            </w:r>
          </w:p>
          <w:p w14:paraId="2D6CA7AA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szakképzettségnek megfelelő munkahelyen, munkakörben az elméleti és gyakorlati ismeretek összekapcsolása, a szakma gyakorlásához szükséges munkavállalói kompetenciák munkafolyamatokban történő fejlesztése, az anyageszköz-technológia ismeretek és gyakorlati jártasságok, valamint a munkafolyamatokban a személyi kapcsolatok és együttműködés, feladatmegoldásokban az értékelő és önértékelő magatartás, az innovációs készség fejlesztése.</w:t>
            </w:r>
          </w:p>
        </w:tc>
      </w:tr>
      <w:tr w:rsidR="00BC2B16" w:rsidRPr="00BC2B16" w14:paraId="07B525B3" w14:textId="77777777" w:rsidTr="00EE1383">
        <w:trPr>
          <w:trHeight w:val="212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0C2DEDD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A szakmai gyakorlat helyszíne és időtartama:</w:t>
            </w:r>
          </w:p>
          <w:p w14:paraId="6EEC81A6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szakmai gyakorlat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székhelyén, vagy valamely telephelyén zajlik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szakembereinek felügyeletével és irányításával. A szakmai gyakorlat időtartama minden esetben megegyezik a képzési programban szereplő időtartammal.</w:t>
            </w:r>
          </w:p>
          <w:p w14:paraId="0236B472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</w:t>
            </w:r>
          </w:p>
        </w:tc>
      </w:tr>
      <w:tr w:rsidR="00BC2B16" w:rsidRPr="00BC2B16" w14:paraId="7D82BBD3" w14:textId="77777777" w:rsidTr="00EE1383">
        <w:trPr>
          <w:trHeight w:val="297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B7404EB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b/>
                <w:bCs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 kötelezettségei a szakmai gyakorlat megszervezésével kapcsolatban:</w:t>
            </w:r>
          </w:p>
          <w:p w14:paraId="3CED8161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-vel együttműködve a szakmai gyakorlatban részt vevő hallgatók kiválasztása;</w:t>
            </w:r>
          </w:p>
          <w:p w14:paraId="7E8944DF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szakmai gyakorlathoz szükséges adatok, információk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számára történő megküldése;</w:t>
            </w:r>
          </w:p>
          <w:p w14:paraId="732408A8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hallgatók tanulmányi módszertani irányítása;</w:t>
            </w:r>
          </w:p>
          <w:p w14:paraId="486D19BB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intézkedés a gyakorlat során felmerülő problémák megoldásában;</w:t>
            </w:r>
          </w:p>
          <w:p w14:paraId="1C80E8C9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szakmai készségek, képességek komplex fejlesztési folyamatában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értékelése alapján a gyakorlati kompetenciák értékelése;</w:t>
            </w:r>
          </w:p>
          <w:p w14:paraId="186F364C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felelősséget vállal a hallgatók teljes képzéséért és az annak részét képező szakmai gyakorlatért.</w:t>
            </w:r>
          </w:p>
        </w:tc>
      </w:tr>
      <w:tr w:rsidR="00BC2B16" w:rsidRPr="00BC2B16" w14:paraId="55580111" w14:textId="77777777" w:rsidTr="00EE1383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B6C9307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b/>
                <w:bCs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 feladatai a szakmai gyakorlat megszervezésével kapcsolatban:</w:t>
            </w:r>
          </w:p>
          <w:p w14:paraId="2F51334F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hallgatói munkaszerződés hallgatóval történő megkötése,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44. § (3b) bekezdésének figyelembevételével;</w:t>
            </w:r>
          </w:p>
          <w:p w14:paraId="592A2747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hallgató tanulmányainak megfelelő szakterületen történő foglalkoztatása;</w:t>
            </w:r>
          </w:p>
          <w:p w14:paraId="4131B6DE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szakmai gyakorlat folytatásához szükséges hely, eszköz, védőfelszerelés biztosítása;</w:t>
            </w:r>
          </w:p>
          <w:p w14:paraId="2B4147F4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szakmai gyakorlati tevékenység szakmai felügyelete, irányítása;</w:t>
            </w:r>
          </w:p>
          <w:p w14:paraId="0272254D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hallgató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44. § (3) bekezdés a) pontja szerinti díjazása;</w:t>
            </w:r>
          </w:p>
          <w:p w14:paraId="700D9D4A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hallgató elsajátított szakmai tudásának, kompetenciáinak írásban történő értékelése.</w:t>
            </w:r>
          </w:p>
        </w:tc>
      </w:tr>
      <w:tr w:rsidR="00BC2B16" w:rsidRPr="00BC2B16" w14:paraId="59FAC442" w14:textId="77777777" w:rsidTr="00EE1383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C2DCA36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A hallgatók szakmai és egyéb kötelezettségei:</w:t>
            </w:r>
          </w:p>
          <w:p w14:paraId="73B335B5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megjelölt időszakban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munkarendjének betartása mellett teljesítik a szakmai gyakorlati feladatot a részükre kijelölt munkahelyen.</w:t>
            </w:r>
          </w:p>
          <w:p w14:paraId="3D205485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végzett munkáról napi bontású munkanaplót vezetnek, a szakmai gyakorlat végén 5-10 oldalas beszámolót készítenek.</w:t>
            </w:r>
          </w:p>
          <w:p w14:paraId="1C573E39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Kötelesek a szakmai gyakorlat során tudomásukra jutott üzleti titkokat megőrizni. Ezen túlmenően sem közölhetnek illetéktelen személlyel olyan adatot, amely a szakmai gyakorlattal összefüggésben jutott a tudomásukra, és amelynek közlése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re vagy más személyre hátrányos következménnyel járhat.</w:t>
            </w:r>
          </w:p>
        </w:tc>
      </w:tr>
      <w:tr w:rsidR="00BC2B16" w:rsidRPr="00BC2B16" w14:paraId="61EE5B6C" w14:textId="77777777" w:rsidTr="00EE1383">
        <w:trPr>
          <w:trHeight w:val="141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0447F09F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A hallgatók díjazása:</w:t>
            </w:r>
          </w:p>
          <w:p w14:paraId="56E6B2AA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szakmai gyakorlatra kötelezett hallgató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44. § (1) bekezdés a) pontja szerinti, a szakmai gyakorlóhellyel kötött hallgatói munkaszerződés alapján végezhet munkát. A hallgatót ez esetben díjazás illetheti, illetve a hat hét időtartamot elérő egybefüggő gyakorlat ideje alatt díjazás illeti, amelynek mértéke legalább a kötelező legkisebb munkabér (minimálbér) hatvanöt százaléka, a díjat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fizeti.</w:t>
            </w:r>
          </w:p>
          <w:p w14:paraId="6B6118B8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Amennyiben a szakmai gyakorlatra kötelezett hallgató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44. § (1) bekezdés a) pontja szerinti szakmai gyakorlóhelye költségvetési szerv, akkor a szakmai gyakorlatra hallgatói munkaszerződés és díjazás nélkül is sor kerülhet. A hallgatót ez esetben is megilletik mindazon jogok, amelyeket a munka törvénykönyve biztosít a munkavállalók részére, illetve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Szgyr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17. § (3) bekezdésében foglaltakat megfelelően alkalmazni kell. A gyakorlati képzésben részt vevő 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lastRenderedPageBreak/>
              <w:t>hallgatóval e tevékenységére tekintettel a Kormány által meghatározott feltételekkel megállapodást kell kötni.</w:t>
            </w:r>
          </w:p>
          <w:p w14:paraId="06FE3971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Amennyiben a szakmai gyakorlatra kötelezett hallgató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44. § (1) bekezdés a) pontja szerinti szakmai gyakorlóhellyel foglalkoztatásra irányuló jogviszonyban áll,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Nftv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44. § (1) bekezdés a) pontja szerinti hallgatói munkaszerződést nem szükséges megkötni.</w:t>
            </w:r>
          </w:p>
        </w:tc>
      </w:tr>
      <w:tr w:rsidR="00BC2B16" w:rsidRPr="00BC2B16" w14:paraId="4329C251" w14:textId="77777777" w:rsidTr="00EE1383">
        <w:trPr>
          <w:trHeight w:val="326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03620FE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lastRenderedPageBreak/>
              <w:t>A hallgatói munkavégzés feltételei:</w:t>
            </w:r>
          </w:p>
          <w:p w14:paraId="079C7330" w14:textId="77777777" w:rsidR="00BC2B16" w:rsidRPr="00BC2B16" w:rsidRDefault="00BC2B16" w:rsidP="00BC2B16">
            <w:pPr>
              <w:spacing w:after="60"/>
              <w:ind w:left="420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szakmai gyakorlaton történő munkavégzés során munkavállalón a hallgatót, munkáltatón a szakmai gyakorlatot biztosítót, munkaviszonyon a hallgatói szerződés alapján létrejött munkaviszonyt kell érteni.</w:t>
            </w:r>
          </w:p>
          <w:p w14:paraId="17FBB3C9" w14:textId="77777777" w:rsidR="00BC2B16" w:rsidRPr="00BC2B16" w:rsidRDefault="00BC2B16" w:rsidP="00BC2B16">
            <w:pPr>
              <w:spacing w:after="60"/>
              <w:ind w:left="420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hallgatói munkaszerződés alapján munkát végző hallgató foglalkoztatása során</w:t>
            </w:r>
          </w:p>
          <w:p w14:paraId="2E2CD41A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éjszakai munka, valamint rendkívüli munkaidő nem rendelhető el;</w:t>
            </w:r>
          </w:p>
          <w:p w14:paraId="08D1B820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hallgató napi munkaideje nem haladhatja meg a nyolc órát, munkaidőkeret alkalmazása esetén legfeljebb egy heti munkaidőkeretet lehet elrendelni;</w:t>
            </w:r>
          </w:p>
          <w:p w14:paraId="70914C75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hallgató számára legalább tizenkét óra tartalmú napi pihenőidőt kell biztosítani;</w:t>
            </w:r>
          </w:p>
          <w:p w14:paraId="112F247C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próbaidő nem köthető ki;</w:t>
            </w:r>
          </w:p>
          <w:p w14:paraId="589765D0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munka törvénykönyvéről szóló 2012. évi I. törvény (a továbbiakban: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Mtv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) 105. § (2) bekezdésében és 106. § (3) bekezdésében foglaltak nem alkalmazhatók.</w:t>
            </w:r>
          </w:p>
        </w:tc>
      </w:tr>
      <w:tr w:rsidR="00BC2B16" w:rsidRPr="00BC2B16" w14:paraId="04CF9C96" w14:textId="77777777" w:rsidTr="00EE1383">
        <w:trPr>
          <w:trHeight w:val="368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4106A87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Az együttműködési szerződés végrehajtásának koordinálásában</w:t>
            </w:r>
          </w:p>
          <w:p w14:paraId="74D3935C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intézményi felelőse:</w:t>
            </w:r>
          </w:p>
          <w:p w14:paraId="73C913D9" w14:textId="24F655BE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név: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 w:rsidR="007751F3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Dr. Pető Richárd</w:t>
            </w:r>
          </w:p>
          <w:p w14:paraId="040B6D89" w14:textId="1E2BD815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cím: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sdt>
              <w:sdtPr>
                <w:rPr>
                  <w:rFonts w:ascii="Arial" w:eastAsia="Calibri" w:hAnsi="Arial" w:cs="Calibri"/>
                  <w:b/>
                  <w:bCs/>
                  <w:sz w:val="20"/>
                  <w:szCs w:val="20"/>
                </w:rPr>
                <w:alias w:val="Cím"/>
                <w:tag w:val="Cím"/>
                <w:id w:val="772831281"/>
                <w:placeholder>
                  <w:docPart w:val="E34FB77FD12B4A188B76B8708D97E98C"/>
                </w:placeholder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EndPr/>
              <w:sdtContent>
                <w:r>
                  <w:rPr>
                    <w:rFonts w:ascii="Arial" w:eastAsia="Calibri" w:hAnsi="Arial" w:cs="Calibri"/>
                    <w:b/>
                    <w:bCs/>
                    <w:sz w:val="20"/>
                    <w:szCs w:val="20"/>
                  </w:rPr>
                  <w:t>1081 Budapest, Népszínház u. 8.</w:t>
                </w:r>
              </w:sdtContent>
            </w:sdt>
          </w:p>
          <w:p w14:paraId="4575E46E" w14:textId="5EB96107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elektronikus cím: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 w:rsidR="007751F3">
              <w:rPr>
                <w:rFonts w:ascii="Arial" w:eastAsia="Calibri" w:hAnsi="Arial" w:cs="Calibri"/>
                <w:sz w:val="20"/>
                <w:szCs w:val="20"/>
              </w:rPr>
              <w:t>peto.richard</w:t>
            </w:r>
            <w:r>
              <w:rPr>
                <w:rFonts w:ascii="Arial" w:eastAsia="Calibri" w:hAnsi="Arial" w:cs="Calibri"/>
                <w:sz w:val="20"/>
                <w:szCs w:val="20"/>
              </w:rPr>
              <w:t>@bgk.uni-obuda.hu</w:t>
            </w:r>
          </w:p>
          <w:p w14:paraId="56C92AA0" w14:textId="297F0AC4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telefon: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>
              <w:rPr>
                <w:rFonts w:ascii="Arial" w:eastAsia="Calibri" w:hAnsi="Arial" w:cs="Calibri"/>
                <w:sz w:val="20"/>
                <w:szCs w:val="20"/>
              </w:rPr>
              <w:t>06-1-</w:t>
            </w:r>
            <w:r w:rsidR="007751F3">
              <w:rPr>
                <w:rFonts w:ascii="Arial" w:eastAsia="Calibri" w:hAnsi="Arial" w:cs="Calibri"/>
                <w:sz w:val="20"/>
                <w:szCs w:val="20"/>
              </w:rPr>
              <w:t>666-5399</w:t>
            </w:r>
            <w:bookmarkStart w:id="1" w:name="_GoBack"/>
            <w:bookmarkEnd w:id="1"/>
          </w:p>
          <w:p w14:paraId="7E750DB8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szakmai felelőse:</w:t>
            </w:r>
          </w:p>
          <w:p w14:paraId="6B9C44A0" w14:textId="77777777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név: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ab/>
            </w:r>
          </w:p>
          <w:p w14:paraId="6501A6D5" w14:textId="77777777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cím: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</w:p>
          <w:p w14:paraId="0B6A2B33" w14:textId="77777777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elektronikus cím: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</w:p>
          <w:p w14:paraId="0307F3A3" w14:textId="77777777" w:rsidR="00BC2B16" w:rsidRPr="00BC2B16" w:rsidRDefault="00BC2B16" w:rsidP="00BC2B16">
            <w:pPr>
              <w:tabs>
                <w:tab w:val="left" w:pos="1134"/>
                <w:tab w:val="left" w:pos="2835"/>
                <w:tab w:val="right" w:leader="dot" w:pos="5670"/>
              </w:tabs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  <w:t>telefon: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ab/>
            </w:r>
          </w:p>
          <w:p w14:paraId="631A58DA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A szerződésben megfogalmazott együttműködés megvalósulása érdekében a kijelölt képviselők járnak el, de a szerződés módosítása, felmondása az azt aláíró képviselők hatásköre.</w:t>
            </w:r>
          </w:p>
        </w:tc>
      </w:tr>
      <w:tr w:rsidR="00BC2B16" w:rsidRPr="00BC2B16" w14:paraId="171CCB6E" w14:textId="77777777" w:rsidTr="00EE1383">
        <w:trPr>
          <w:trHeight w:val="226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BB6D480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Jelen szerződést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(a megfelelő rész aláhúzandó)</w:t>
            </w:r>
          </w:p>
          <w:p w14:paraId="2002FA35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határozatlan időre kötik vagy</w:t>
            </w:r>
          </w:p>
          <w:p w14:paraId="2D459693" w14:textId="77777777" w:rsidR="00BC2B16" w:rsidRPr="00BC2B16" w:rsidRDefault="00BC2B16" w:rsidP="00BC2B16">
            <w:pPr>
              <w:numPr>
                <w:ilvl w:val="0"/>
                <w:numId w:val="1"/>
              </w:numPr>
              <w:spacing w:before="120" w:after="60"/>
              <w:ind w:left="709" w:hanging="142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>határozott időre kötik, melynek időtartama 20…év ……hó ……naptól 20…év ……hó ……napig tart,</w:t>
            </w:r>
          </w:p>
          <w:p w14:paraId="61AE5EA4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amely a szerződő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cégszerű aláírásával lép hatályba.</w:t>
            </w:r>
          </w:p>
          <w:p w14:paraId="7971A03A" w14:textId="77777777" w:rsidR="00BC2B16" w:rsidRPr="00BC2B16" w:rsidRDefault="00BC2B16" w:rsidP="00BC2B16">
            <w:pPr>
              <w:spacing w:after="60"/>
              <w:ind w:left="426"/>
              <w:jc w:val="both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Jelen szerződést bármelyik fél 30 napos határidővel mondhatja fel. A szerződés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Felek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egyetértésével módosítható. Az együttműködési megállapodás megszűnik, amennyiben a szakmai </w:t>
            </w:r>
            <w:proofErr w:type="spellStart"/>
            <w:r w:rsidRPr="00BC2B16">
              <w:rPr>
                <w:rFonts w:ascii="Arial" w:eastAsia="Calibri" w:hAnsi="Arial" w:cs="Calibri"/>
                <w:sz w:val="20"/>
                <w:szCs w:val="20"/>
              </w:rPr>
              <w:t>gyakorlóhelyet</w:t>
            </w:r>
            <w:proofErr w:type="spellEnd"/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az országos gazdasági kamara törli a nyilvántartásából. Erről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nek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Kar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>t értesítenie kell.</w:t>
            </w:r>
          </w:p>
        </w:tc>
      </w:tr>
      <w:tr w:rsidR="00BC2B16" w:rsidRPr="00BC2B16" w14:paraId="29BE273C" w14:textId="77777777" w:rsidTr="00EE1383">
        <w:trPr>
          <w:trHeight w:val="70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6B50644" w14:textId="77777777" w:rsidR="00BC2B16" w:rsidRPr="00BC2B16" w:rsidRDefault="00BC2B16" w:rsidP="00BC2B16">
            <w:pPr>
              <w:numPr>
                <w:ilvl w:val="0"/>
                <w:numId w:val="2"/>
              </w:numPr>
              <w:spacing w:before="120" w:after="60"/>
              <w:ind w:left="426" w:hanging="142"/>
              <w:jc w:val="both"/>
              <w:rPr>
                <w:rFonts w:ascii="Arial" w:eastAsia="Calibri" w:hAnsi="Arial" w:cs="Calibri"/>
                <w:b/>
                <w:bCs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A jelen szerződésben nem szabályozott jogi kérdésekben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Szhtv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, az </w:t>
            </w:r>
            <w:proofErr w:type="spellStart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Mtv</w:t>
            </w:r>
            <w:proofErr w:type="spellEnd"/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és a </w:t>
            </w: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Ptk.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 vonatkozó szabályai, szakmai és szervezési kérdésekben az Óbudai Egyetem Tanulmányi ügyrendje szabályzat az irányadó.</w:t>
            </w:r>
          </w:p>
        </w:tc>
      </w:tr>
      <w:tr w:rsidR="00BC2B16" w:rsidRPr="00BC2B16" w14:paraId="71190444" w14:textId="77777777" w:rsidTr="00BC2B16">
        <w:trPr>
          <w:trHeight w:val="651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EF3FC0A" w14:textId="77777777" w:rsidR="00BC2B16" w:rsidRPr="00BC2B16" w:rsidRDefault="00BC2B16" w:rsidP="00BC2B16">
            <w:pPr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………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(hely)</w:t>
            </w:r>
            <w:r w:rsidRPr="00BC2B16">
              <w:rPr>
                <w:rFonts w:ascii="Arial" w:eastAsia="Calibri" w:hAnsi="Arial" w:cs="Calibri"/>
                <w:sz w:val="20"/>
                <w:szCs w:val="20"/>
              </w:rPr>
              <w:t xml:space="preserve">, ……… </w:t>
            </w:r>
            <w:r w:rsidRPr="00BC2B16">
              <w:rPr>
                <w:rFonts w:ascii="Arial" w:eastAsia="Calibri" w:hAnsi="Arial" w:cs="Calibri"/>
                <w:i/>
                <w:iCs/>
                <w:sz w:val="16"/>
                <w:szCs w:val="16"/>
              </w:rPr>
              <w:t>(dátum)</w:t>
            </w:r>
          </w:p>
        </w:tc>
      </w:tr>
      <w:tr w:rsidR="00BC2B16" w:rsidRPr="00BC2B16" w14:paraId="47517D99" w14:textId="77777777" w:rsidTr="00BC2B16">
        <w:trPr>
          <w:trHeight w:val="111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67C58FA0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123CEC2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Arial"/>
                <w:sz w:val="20"/>
                <w:szCs w:val="20"/>
              </w:rPr>
              <w:t>javaslattevő tanszék/intézet vezetője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FB5F3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B4246F" w14:textId="77777777" w:rsidR="00BC2B16" w:rsidRPr="00BC2B16" w:rsidRDefault="00BC2B16" w:rsidP="00BC2B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14:paraId="57E6AB96" w14:textId="77777777" w:rsidR="00BC2B16" w:rsidRPr="00BC2B16" w:rsidRDefault="00BC2B16" w:rsidP="00BC2B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2B16" w:rsidRPr="00BC2B16" w14:paraId="55C030B5" w14:textId="77777777" w:rsidTr="00EE1383">
        <w:trPr>
          <w:trHeight w:val="567"/>
          <w:jc w:val="center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C4C23D6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00786A2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  <w:r w:rsidRPr="00BC2B16">
              <w:rPr>
                <w:rFonts w:ascii="Arial" w:eastAsia="Calibri" w:hAnsi="Arial" w:cs="Arial"/>
                <w:sz w:val="20"/>
                <w:szCs w:val="20"/>
              </w:rPr>
              <w:t>dékán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4D00A" w14:textId="77777777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86DEBA5" w14:textId="77777777" w:rsidR="00BC2B16" w:rsidRPr="00BC2B16" w:rsidRDefault="00BC2B16" w:rsidP="00BC2B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2B16">
              <w:rPr>
                <w:rFonts w:ascii="Arial" w:eastAsia="Calibri" w:hAnsi="Arial" w:cs="Calibri"/>
                <w:i/>
                <w:iCs/>
                <w:smallCaps/>
                <w:sz w:val="18"/>
                <w:szCs w:val="18"/>
              </w:rPr>
              <w:t>Szakmai gyakorlóhely</w:t>
            </w:r>
            <w:r w:rsidRPr="00BC2B16">
              <w:rPr>
                <w:rFonts w:ascii="Arial" w:eastAsia="Calibri" w:hAnsi="Arial" w:cs="Arial"/>
                <w:sz w:val="20"/>
                <w:szCs w:val="20"/>
              </w:rPr>
              <w:t xml:space="preserve"> képviselője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14:paraId="6BF5F4E0" w14:textId="77777777" w:rsidR="00BC2B16" w:rsidRPr="00BC2B16" w:rsidRDefault="00BC2B16" w:rsidP="00BC2B1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2B16" w:rsidRPr="00BC2B16" w14:paraId="2C108A06" w14:textId="77777777" w:rsidTr="00EE1383">
        <w:trPr>
          <w:trHeight w:val="28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right w:val="nil"/>
            </w:tcBorders>
          </w:tcPr>
          <w:p w14:paraId="491968FE" w14:textId="77777777" w:rsidR="00BC2B16" w:rsidRPr="00BC2B16" w:rsidRDefault="00BC2B16" w:rsidP="00BC2B16">
            <w:pPr>
              <w:rPr>
                <w:rFonts w:ascii="Arial" w:eastAsia="Calibri" w:hAnsi="Arial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EDDBEEC" w14:textId="1D9CB128" w:rsidR="00BC2B16" w:rsidRPr="00BC2B16" w:rsidRDefault="00BC2B16" w:rsidP="00BC2B16">
            <w:pPr>
              <w:jc w:val="center"/>
              <w:rPr>
                <w:rFonts w:ascii="Arial" w:eastAsia="Calibri" w:hAnsi="Arial" w:cs="Calibri"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14:paraId="4BF25E18" w14:textId="77777777" w:rsidR="00BC2B16" w:rsidRPr="00BC2B16" w:rsidRDefault="00BC2B16" w:rsidP="00BC2B16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9E8EB46" w14:textId="77777777" w:rsidR="00623D95" w:rsidRDefault="00623D95"/>
    <w:sectPr w:rsidR="00623D95" w:rsidSect="00C27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16"/>
    <w:rsid w:val="00623D95"/>
    <w:rsid w:val="007751F3"/>
    <w:rsid w:val="00BC2B16"/>
    <w:rsid w:val="00C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F16D"/>
  <w15:chartTrackingRefBased/>
  <w15:docId w15:val="{1D6A413A-FB00-4D53-91C0-DF6038BD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2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2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2B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2B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2B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2B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2B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2B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2B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2B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2B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2B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2B1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BC2B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6D078AF0D84413A4C51F5FF2B94F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51368B-6E9B-4CD5-92C1-FB7C87D36AB6}"/>
      </w:docPartPr>
      <w:docPartBody>
        <w:p w:rsidR="006E379D" w:rsidRDefault="00F06473" w:rsidP="00F06473">
          <w:pPr>
            <w:pStyle w:val="116D078AF0D84413A4C51F5FF2B94F4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03BB1D40B019419EB3D63408B40976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27D09E-644D-48FC-A86B-C2B5A8A6339D}"/>
      </w:docPartPr>
      <w:docPartBody>
        <w:p w:rsidR="006E379D" w:rsidRDefault="00F06473" w:rsidP="00F06473">
          <w:pPr>
            <w:pStyle w:val="03BB1D40B019419EB3D63408B4097687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CB6C79EBD00A473EBC108624EE4AAC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10DE0-E56C-45A0-B1A8-6D42CD26F63F}"/>
      </w:docPartPr>
      <w:docPartBody>
        <w:p w:rsidR="006E379D" w:rsidRDefault="00F06473" w:rsidP="00F06473">
          <w:pPr>
            <w:pStyle w:val="CB6C79EBD00A473EBC108624EE4AACE8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E34FB77FD12B4A188B76B8708D97E9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4D594A-A86E-46A9-B741-C2A784C4E647}"/>
      </w:docPartPr>
      <w:docPartBody>
        <w:p w:rsidR="006E379D" w:rsidRDefault="00F06473" w:rsidP="00F06473">
          <w:pPr>
            <w:pStyle w:val="E34FB77FD12B4A188B76B8708D97E98C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73"/>
    <w:rsid w:val="006E379D"/>
    <w:rsid w:val="0090079A"/>
    <w:rsid w:val="00CF4F56"/>
    <w:rsid w:val="00F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06473"/>
    <w:rPr>
      <w:color w:val="808080"/>
    </w:rPr>
  </w:style>
  <w:style w:type="paragraph" w:customStyle="1" w:styleId="CD98539516AD4B8F971989173F2D8A37">
    <w:name w:val="CD98539516AD4B8F971989173F2D8A37"/>
    <w:rsid w:val="00F06473"/>
  </w:style>
  <w:style w:type="paragraph" w:customStyle="1" w:styleId="E47C1AED304249A2AAC864DDEAE47584">
    <w:name w:val="E47C1AED304249A2AAC864DDEAE47584"/>
    <w:rsid w:val="00F06473"/>
  </w:style>
  <w:style w:type="paragraph" w:customStyle="1" w:styleId="5B27A2EADA234FAEB704B348D51D1158">
    <w:name w:val="5B27A2EADA234FAEB704B348D51D1158"/>
    <w:rsid w:val="00F06473"/>
  </w:style>
  <w:style w:type="paragraph" w:customStyle="1" w:styleId="116D078AF0D84413A4C51F5FF2B94F48">
    <w:name w:val="116D078AF0D84413A4C51F5FF2B94F48"/>
    <w:rsid w:val="00F06473"/>
  </w:style>
  <w:style w:type="paragraph" w:customStyle="1" w:styleId="03BB1D40B019419EB3D63408B4097687">
    <w:name w:val="03BB1D40B019419EB3D63408B4097687"/>
    <w:rsid w:val="00F06473"/>
  </w:style>
  <w:style w:type="paragraph" w:customStyle="1" w:styleId="CB6C79EBD00A473EBC108624EE4AACE8">
    <w:name w:val="CB6C79EBD00A473EBC108624EE4AACE8"/>
    <w:rsid w:val="00F06473"/>
  </w:style>
  <w:style w:type="paragraph" w:customStyle="1" w:styleId="E34FB77FD12B4A188B76B8708D97E98C">
    <w:name w:val="E34FB77FD12B4A188B76B8708D97E98C"/>
    <w:rsid w:val="00F06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1215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Róbert</dc:creator>
  <cp:keywords/>
  <dc:description/>
  <cp:lastModifiedBy>Baksa Noémi</cp:lastModifiedBy>
  <cp:revision>2</cp:revision>
  <dcterms:created xsi:type="dcterms:W3CDTF">2024-02-24T12:20:00Z</dcterms:created>
  <dcterms:modified xsi:type="dcterms:W3CDTF">2024-06-24T08:00:00Z</dcterms:modified>
</cp:coreProperties>
</file>